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639"/>
      </w:tblGrid>
      <w:tr w:rsidR="00BF3626" w:rsidRPr="00217020" w:rsidTr="003536BF">
        <w:tc>
          <w:tcPr>
            <w:tcW w:w="2390" w:type="pct"/>
          </w:tcPr>
          <w:p w:rsidR="00BF3626" w:rsidRPr="00217020" w:rsidRDefault="00BF3626" w:rsidP="003536BF">
            <w:pPr>
              <w:spacing w:after="0" w:line="240" w:lineRule="auto"/>
              <w:contextualSpacing/>
              <w:jc w:val="center"/>
              <w:rPr>
                <w:rFonts w:ascii="Times New Roman" w:hAnsi="Times New Roman" w:cs="Times New Roman"/>
                <w:b/>
                <w:lang w:val="uk-UA"/>
              </w:rPr>
            </w:pPr>
          </w:p>
          <w:p w:rsidR="00BF3626" w:rsidRPr="00217020" w:rsidRDefault="00BF3626" w:rsidP="003536BF">
            <w:pPr>
              <w:spacing w:after="0" w:line="240" w:lineRule="auto"/>
              <w:contextualSpacing/>
              <w:jc w:val="center"/>
              <w:rPr>
                <w:rFonts w:ascii="Times New Roman" w:hAnsi="Times New Roman" w:cs="Times New Roman"/>
                <w:b/>
                <w:lang w:val="uk-UA"/>
              </w:rPr>
            </w:pPr>
            <w:r w:rsidRPr="00217020">
              <w:rPr>
                <w:rFonts w:ascii="Times New Roman" w:hAnsi="Times New Roman" w:cs="Times New Roman"/>
                <w:b/>
                <w:lang w:val="uk-UA"/>
              </w:rPr>
              <w:t>Повідомлення про проведення річних Загальних зборів акціонерів</w:t>
            </w:r>
          </w:p>
          <w:p w:rsidR="00BF3626" w:rsidRPr="00217020" w:rsidRDefault="00BF3626" w:rsidP="003536BF">
            <w:pPr>
              <w:spacing w:after="0" w:line="240" w:lineRule="auto"/>
              <w:contextualSpacing/>
              <w:jc w:val="center"/>
              <w:rPr>
                <w:rFonts w:ascii="Times New Roman" w:hAnsi="Times New Roman" w:cs="Times New Roman"/>
                <w:b/>
                <w:lang w:val="uk-UA"/>
              </w:rPr>
            </w:pPr>
          </w:p>
          <w:p w:rsidR="00BF3626" w:rsidRPr="00217020" w:rsidRDefault="00BF3626" w:rsidP="003536BF">
            <w:pPr>
              <w:spacing w:after="0" w:line="240" w:lineRule="auto"/>
              <w:contextualSpacing/>
              <w:jc w:val="both"/>
              <w:rPr>
                <w:rFonts w:ascii="Times New Roman" w:hAnsi="Times New Roman" w:cs="Times New Roman"/>
                <w:b/>
                <w:lang w:val="uk-UA"/>
              </w:rPr>
            </w:pPr>
            <w:r w:rsidRPr="00217020">
              <w:rPr>
                <w:rFonts w:ascii="Times New Roman" w:hAnsi="Times New Roman" w:cs="Times New Roman"/>
                <w:b/>
                <w:lang w:val="uk-UA"/>
              </w:rPr>
              <w:t xml:space="preserve">Акціонерне товариство «ВЕСТ ФАЙНЕНС ЕНД КРЕДИТ БАНК» </w:t>
            </w:r>
          </w:p>
          <w:p w:rsidR="00BF3626" w:rsidRPr="00217020" w:rsidRDefault="00BF3626" w:rsidP="003536BF">
            <w:pPr>
              <w:spacing w:after="0" w:line="240" w:lineRule="auto"/>
              <w:contextualSpacing/>
              <w:jc w:val="both"/>
              <w:rPr>
                <w:rFonts w:ascii="Times New Roman" w:hAnsi="Times New Roman" w:cs="Times New Roman"/>
                <w:b/>
                <w:lang w:val="uk-UA"/>
              </w:rPr>
            </w:pPr>
            <w:r w:rsidRPr="00217020">
              <w:rPr>
                <w:rFonts w:ascii="Times New Roman" w:hAnsi="Times New Roman" w:cs="Times New Roman"/>
                <w:b/>
                <w:lang w:val="uk-UA"/>
              </w:rPr>
              <w:t xml:space="preserve">(ідентифікаційний код 34575675, місцезнаходження: Україна, 01054, м. Київ вул. Леонтовича, 4 літ. «А, А1») </w:t>
            </w:r>
          </w:p>
          <w:p w:rsidR="00BF3626" w:rsidRPr="00217020" w:rsidRDefault="00BF3626" w:rsidP="003536BF">
            <w:pPr>
              <w:spacing w:after="0" w:line="240" w:lineRule="auto"/>
              <w:contextualSpacing/>
              <w:jc w:val="both"/>
              <w:rPr>
                <w:rFonts w:ascii="Times New Roman" w:hAnsi="Times New Roman" w:cs="Times New Roman"/>
                <w:b/>
                <w:lang w:val="uk-UA"/>
              </w:rPr>
            </w:pPr>
            <w:r w:rsidRPr="00217020">
              <w:rPr>
                <w:rFonts w:ascii="Times New Roman" w:hAnsi="Times New Roman" w:cs="Times New Roman"/>
                <w:lang w:val="uk-UA"/>
              </w:rPr>
              <w:t xml:space="preserve">(далі за текстом – «Банк») </w:t>
            </w:r>
            <w:r w:rsidRPr="00217020">
              <w:rPr>
                <w:rFonts w:ascii="Times New Roman" w:hAnsi="Times New Roman" w:cs="Times New Roman"/>
                <w:b/>
                <w:lang w:val="uk-UA"/>
              </w:rPr>
              <w:t>повідомляє про проведення дистанційних річних Загальних зборів акціонерів АТ «КРЕДИТВЕСТ БАНК» 27 квітня 2023 року</w:t>
            </w:r>
          </w:p>
          <w:p w:rsidR="00BF3626" w:rsidRPr="00217020" w:rsidRDefault="00BF3626" w:rsidP="003536BF">
            <w:pPr>
              <w:spacing w:after="0" w:line="240" w:lineRule="auto"/>
              <w:contextualSpacing/>
              <w:jc w:val="both"/>
              <w:rPr>
                <w:rFonts w:ascii="Times New Roman" w:hAnsi="Times New Roman" w:cs="Times New Roman"/>
                <w:b/>
                <w:lang w:val="uk-UA"/>
              </w:rPr>
            </w:pPr>
          </w:p>
          <w:p w:rsidR="00BF3626" w:rsidRPr="00217020" w:rsidRDefault="00BF3626" w:rsidP="003536BF">
            <w:pPr>
              <w:spacing w:after="0" w:line="240" w:lineRule="auto"/>
              <w:contextualSpacing/>
              <w:jc w:val="both"/>
              <w:rPr>
                <w:rFonts w:ascii="Times New Roman" w:hAnsi="Times New Roman" w:cs="Times New Roman"/>
                <w:b/>
                <w:lang w:val="uk-UA"/>
              </w:rPr>
            </w:pPr>
          </w:p>
        </w:tc>
      </w:tr>
      <w:tr w:rsidR="00BF3626" w:rsidRPr="00217020" w:rsidTr="003536BF">
        <w:tc>
          <w:tcPr>
            <w:tcW w:w="2390" w:type="pct"/>
          </w:tcPr>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lang w:val="uk-UA"/>
              </w:rPr>
              <w:t>Наглядовою радою Банку прийнято рішення про скликання дистанційних річних Загальних зборів Акціонерів Банку (надалі – «Збори»), які будуть проведені у відповідності до Порядку скликання та проведення дистанційних загальних збо</w:t>
            </w:r>
            <w:r>
              <w:rPr>
                <w:rFonts w:ascii="Times New Roman" w:hAnsi="Times New Roman" w:cs="Times New Roman"/>
                <w:lang w:val="uk-UA"/>
              </w:rPr>
              <w:t>рів акціонерів, затвердженого р</w:t>
            </w:r>
            <w:r w:rsidRPr="00217020">
              <w:rPr>
                <w:rFonts w:ascii="Times New Roman" w:hAnsi="Times New Roman" w:cs="Times New Roman"/>
                <w:lang w:val="uk-UA"/>
              </w:rPr>
              <w:t>ішенням Національної комісії з цінних паперів та фондового ринку від 06.03.2023 року № 236.</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Дата проведення Загальних Зборів (дата завершення голосування) - </w:t>
            </w:r>
            <w:r w:rsidRPr="00217020">
              <w:rPr>
                <w:rFonts w:ascii="Times New Roman" w:hAnsi="Times New Roman" w:cs="Times New Roman"/>
                <w:b/>
                <w:lang w:val="uk-UA"/>
              </w:rPr>
              <w:t>«27» квітня 2023 року.</w:t>
            </w:r>
          </w:p>
          <w:p w:rsidR="00BF3626" w:rsidRPr="00217020" w:rsidRDefault="00BF3626" w:rsidP="003536BF">
            <w:pPr>
              <w:spacing w:after="0" w:line="240" w:lineRule="auto"/>
              <w:ind w:firstLine="318"/>
              <w:jc w:val="both"/>
              <w:rPr>
                <w:rFonts w:ascii="Times New Roman" w:hAnsi="Times New Roman" w:cs="Times New Roman"/>
              </w:rPr>
            </w:pPr>
            <w:r w:rsidRPr="00217020">
              <w:rPr>
                <w:rFonts w:ascii="Times New Roman" w:hAnsi="Times New Roman" w:cs="Times New Roman"/>
              </w:rPr>
              <w:t xml:space="preserve">Дата і час початку </w:t>
            </w:r>
            <w:proofErr w:type="spellStart"/>
            <w:r w:rsidRPr="00217020">
              <w:rPr>
                <w:rFonts w:ascii="Times New Roman" w:hAnsi="Times New Roman" w:cs="Times New Roman"/>
              </w:rPr>
              <w:t>надсилання</w:t>
            </w:r>
            <w:proofErr w:type="spellEnd"/>
            <w:r w:rsidRPr="00217020">
              <w:rPr>
                <w:rFonts w:ascii="Times New Roman" w:hAnsi="Times New Roman" w:cs="Times New Roman"/>
              </w:rPr>
              <w:t xml:space="preserve"> до </w:t>
            </w:r>
            <w:proofErr w:type="spellStart"/>
            <w:r w:rsidRPr="00217020">
              <w:rPr>
                <w:rFonts w:ascii="Times New Roman" w:hAnsi="Times New Roman" w:cs="Times New Roman"/>
              </w:rPr>
              <w:t>депозитарної</w:t>
            </w:r>
            <w:proofErr w:type="spellEnd"/>
            <w:r w:rsidRPr="00217020">
              <w:rPr>
                <w:rFonts w:ascii="Times New Roman" w:hAnsi="Times New Roman" w:cs="Times New Roman"/>
              </w:rPr>
              <w:t xml:space="preserve"> установи </w:t>
            </w:r>
            <w:r w:rsidRPr="00217020">
              <w:rPr>
                <w:rFonts w:ascii="Times New Roman" w:hAnsi="Times New Roman" w:cs="Times New Roman"/>
                <w:lang w:val="uk-UA"/>
              </w:rPr>
              <w:t>бюлетеню для голосування (щодо інших питань порядку денного, крім обрання органів управління Банку)</w:t>
            </w:r>
            <w:r w:rsidRPr="00217020">
              <w:rPr>
                <w:rFonts w:ascii="Times New Roman" w:hAnsi="Times New Roman" w:cs="Times New Roman"/>
              </w:rPr>
              <w:t xml:space="preserve"> – </w:t>
            </w:r>
            <w:r w:rsidRPr="00217020">
              <w:rPr>
                <w:rFonts w:ascii="Times New Roman" w:hAnsi="Times New Roman" w:cs="Times New Roman"/>
                <w:b/>
              </w:rPr>
              <w:t xml:space="preserve">з 11- 00 </w:t>
            </w:r>
            <w:proofErr w:type="spellStart"/>
            <w:r w:rsidRPr="00217020">
              <w:rPr>
                <w:rFonts w:ascii="Times New Roman" w:hAnsi="Times New Roman" w:cs="Times New Roman"/>
                <w:b/>
              </w:rPr>
              <w:t>години</w:t>
            </w:r>
            <w:proofErr w:type="spellEnd"/>
            <w:r w:rsidRPr="00217020">
              <w:rPr>
                <w:rFonts w:ascii="Times New Roman" w:hAnsi="Times New Roman" w:cs="Times New Roman"/>
                <w:b/>
              </w:rPr>
              <w:t xml:space="preserve"> </w:t>
            </w:r>
            <w:r w:rsidRPr="00217020">
              <w:rPr>
                <w:rFonts w:ascii="Times New Roman" w:hAnsi="Times New Roman" w:cs="Times New Roman"/>
                <w:b/>
                <w:lang w:val="uk-UA"/>
              </w:rPr>
              <w:t>1</w:t>
            </w:r>
            <w:r w:rsidRPr="00217020">
              <w:rPr>
                <w:rFonts w:ascii="Times New Roman" w:hAnsi="Times New Roman" w:cs="Times New Roman"/>
                <w:b/>
              </w:rPr>
              <w:t>4.0</w:t>
            </w:r>
            <w:r w:rsidRPr="00217020">
              <w:rPr>
                <w:rFonts w:ascii="Times New Roman" w:hAnsi="Times New Roman" w:cs="Times New Roman"/>
                <w:b/>
                <w:lang w:val="uk-UA"/>
              </w:rPr>
              <w:t>4</w:t>
            </w:r>
            <w:r w:rsidRPr="00217020">
              <w:rPr>
                <w:rFonts w:ascii="Times New Roman" w:hAnsi="Times New Roman" w:cs="Times New Roman"/>
                <w:b/>
              </w:rPr>
              <w:t>.2023 року</w:t>
            </w:r>
            <w:r w:rsidRPr="00217020">
              <w:rPr>
                <w:rFonts w:ascii="Times New Roman" w:hAnsi="Times New Roman" w:cs="Times New Roman"/>
              </w:rPr>
              <w:t xml:space="preserve">. </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rPr>
              <w:t xml:space="preserve">Дата і час </w:t>
            </w:r>
            <w:proofErr w:type="spellStart"/>
            <w:r w:rsidRPr="00217020">
              <w:rPr>
                <w:rFonts w:ascii="Times New Roman" w:hAnsi="Times New Roman" w:cs="Times New Roman"/>
              </w:rPr>
              <w:t>завершення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надсилання</w:t>
            </w:r>
            <w:proofErr w:type="spellEnd"/>
            <w:r w:rsidRPr="00217020">
              <w:rPr>
                <w:rFonts w:ascii="Times New Roman" w:hAnsi="Times New Roman" w:cs="Times New Roman"/>
              </w:rPr>
              <w:t xml:space="preserve"> до </w:t>
            </w:r>
            <w:proofErr w:type="spellStart"/>
            <w:r w:rsidRPr="00217020">
              <w:rPr>
                <w:rFonts w:ascii="Times New Roman" w:hAnsi="Times New Roman" w:cs="Times New Roman"/>
              </w:rPr>
              <w:t>депозитарної</w:t>
            </w:r>
            <w:proofErr w:type="spellEnd"/>
            <w:r w:rsidRPr="00217020">
              <w:rPr>
                <w:rFonts w:ascii="Times New Roman" w:hAnsi="Times New Roman" w:cs="Times New Roman"/>
              </w:rPr>
              <w:t xml:space="preserve"> установи </w:t>
            </w:r>
            <w:proofErr w:type="spellStart"/>
            <w:r w:rsidRPr="00217020">
              <w:rPr>
                <w:rFonts w:ascii="Times New Roman" w:hAnsi="Times New Roman" w:cs="Times New Roman"/>
              </w:rPr>
              <w:t>бюлетенів</w:t>
            </w:r>
            <w:proofErr w:type="spellEnd"/>
            <w:r w:rsidRPr="00217020">
              <w:rPr>
                <w:rFonts w:ascii="Times New Roman" w:hAnsi="Times New Roman" w:cs="Times New Roman"/>
              </w:rPr>
              <w:t xml:space="preserve"> для </w:t>
            </w:r>
            <w:proofErr w:type="spellStart"/>
            <w:r w:rsidRPr="00217020">
              <w:rPr>
                <w:rFonts w:ascii="Times New Roman" w:hAnsi="Times New Roman" w:cs="Times New Roman"/>
              </w:rPr>
              <w:t>голосування</w:t>
            </w:r>
            <w:proofErr w:type="spellEnd"/>
            <w:r w:rsidRPr="00217020">
              <w:rPr>
                <w:rFonts w:ascii="Times New Roman" w:hAnsi="Times New Roman" w:cs="Times New Roman"/>
              </w:rPr>
              <w:t xml:space="preserve"> – </w:t>
            </w:r>
            <w:r w:rsidRPr="00217020">
              <w:rPr>
                <w:rFonts w:ascii="Times New Roman" w:hAnsi="Times New Roman" w:cs="Times New Roman"/>
                <w:b/>
              </w:rPr>
              <w:t xml:space="preserve">до 18-00 </w:t>
            </w:r>
            <w:proofErr w:type="spellStart"/>
            <w:r w:rsidRPr="00217020">
              <w:rPr>
                <w:rFonts w:ascii="Times New Roman" w:hAnsi="Times New Roman" w:cs="Times New Roman"/>
                <w:b/>
              </w:rPr>
              <w:t>години</w:t>
            </w:r>
            <w:proofErr w:type="spellEnd"/>
            <w:r w:rsidRPr="00217020">
              <w:rPr>
                <w:rFonts w:ascii="Times New Roman" w:hAnsi="Times New Roman" w:cs="Times New Roman"/>
                <w:b/>
              </w:rPr>
              <w:t xml:space="preserve"> 2</w:t>
            </w:r>
            <w:r w:rsidRPr="00217020">
              <w:rPr>
                <w:rFonts w:ascii="Times New Roman" w:hAnsi="Times New Roman" w:cs="Times New Roman"/>
                <w:b/>
                <w:lang w:val="uk-UA"/>
              </w:rPr>
              <w:t>7</w:t>
            </w:r>
            <w:r w:rsidRPr="00217020">
              <w:rPr>
                <w:rFonts w:ascii="Times New Roman" w:hAnsi="Times New Roman" w:cs="Times New Roman"/>
                <w:b/>
              </w:rPr>
              <w:t>.04.2023 року</w:t>
            </w:r>
            <w:r w:rsidRPr="00217020">
              <w:rPr>
                <w:rFonts w:ascii="Times New Roman" w:hAnsi="Times New Roman" w:cs="Times New Roman"/>
              </w:rPr>
              <w:t>.</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Спосіб проведення Загальних зборів –</w:t>
            </w:r>
            <w:proofErr w:type="spellStart"/>
            <w:r w:rsidRPr="00217020">
              <w:rPr>
                <w:rFonts w:ascii="Times New Roman" w:hAnsi="Times New Roman" w:cs="Times New Roman"/>
              </w:rPr>
              <w:t>дистанційні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загальні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збори</w:t>
            </w:r>
            <w:proofErr w:type="spellEnd"/>
            <w:r w:rsidRPr="00217020">
              <w:rPr>
                <w:rFonts w:ascii="Times New Roman" w:hAnsi="Times New Roman" w:cs="Times New Roman"/>
                <w:lang w:val="uk-UA"/>
              </w:rPr>
              <w:t>.</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b/>
                <w:lang w:val="uk-UA"/>
              </w:rPr>
              <w:t>«14» квітня 2023</w:t>
            </w:r>
            <w:r>
              <w:rPr>
                <w:rFonts w:ascii="Times New Roman" w:hAnsi="Times New Roman" w:cs="Times New Roman"/>
                <w:b/>
                <w:lang w:val="uk-UA"/>
              </w:rPr>
              <w:t> </w:t>
            </w:r>
            <w:r w:rsidRPr="00217020">
              <w:rPr>
                <w:rFonts w:ascii="Times New Roman" w:hAnsi="Times New Roman" w:cs="Times New Roman"/>
                <w:b/>
                <w:lang w:val="uk-UA"/>
              </w:rPr>
              <w:t>р.</w:t>
            </w:r>
            <w:r w:rsidRPr="00217020">
              <w:rPr>
                <w:rFonts w:ascii="Times New Roman" w:hAnsi="Times New Roman" w:cs="Times New Roman"/>
                <w:lang w:val="uk-UA"/>
              </w:rPr>
              <w:t xml:space="preserve"> - дата розміщення бюлетеню для голосування (щодо інших питань порядку денного, крім обрання органів управління Банку) у вільному для акціонерів доступі на власному </w:t>
            </w:r>
            <w:proofErr w:type="spellStart"/>
            <w:r w:rsidRPr="00217020">
              <w:rPr>
                <w:rFonts w:ascii="Times New Roman" w:hAnsi="Times New Roman" w:cs="Times New Roman"/>
                <w:lang w:val="uk-UA"/>
              </w:rPr>
              <w:t>вебсайті</w:t>
            </w:r>
            <w:proofErr w:type="spellEnd"/>
            <w:r w:rsidRPr="00217020">
              <w:rPr>
                <w:rFonts w:ascii="Times New Roman" w:hAnsi="Times New Roman" w:cs="Times New Roman"/>
                <w:lang w:val="uk-UA"/>
              </w:rPr>
              <w:t xml:space="preserve"> https://www.creditwest.ua/uk/ у розділі «Про нас»</w:t>
            </w:r>
            <w:r>
              <w:rPr>
                <w:rFonts w:ascii="Times New Roman" w:hAnsi="Times New Roman" w:cs="Times New Roman"/>
                <w:lang w:val="uk-UA"/>
              </w:rPr>
              <w:t xml:space="preserve"> </w:t>
            </w:r>
            <w:r w:rsidRPr="00217020">
              <w:rPr>
                <w:rFonts w:ascii="Times New Roman" w:hAnsi="Times New Roman" w:cs="Times New Roman"/>
                <w:lang w:val="uk-UA"/>
              </w:rPr>
              <w:t>- «Загальні збори акціонерів».</w:t>
            </w:r>
          </w:p>
          <w:p w:rsidR="00BF3626" w:rsidRPr="00217020" w:rsidRDefault="00BF3626" w:rsidP="003536BF">
            <w:pPr>
              <w:spacing w:after="0" w:line="240" w:lineRule="auto"/>
              <w:ind w:firstLine="333"/>
              <w:jc w:val="both"/>
              <w:rPr>
                <w:rFonts w:ascii="Times New Roman" w:hAnsi="Times New Roman" w:cs="Times New Roman"/>
                <w:b/>
                <w:lang w:val="uk-UA"/>
              </w:rPr>
            </w:pPr>
            <w:r w:rsidRPr="00217020">
              <w:rPr>
                <w:rFonts w:ascii="Times New Roman" w:hAnsi="Times New Roman" w:cs="Times New Roman"/>
              </w:rPr>
              <w:t xml:space="preserve">Дата </w:t>
            </w:r>
            <w:proofErr w:type="spellStart"/>
            <w:r w:rsidRPr="00217020">
              <w:rPr>
                <w:rFonts w:ascii="Times New Roman" w:hAnsi="Times New Roman" w:cs="Times New Roman"/>
              </w:rPr>
              <w:t>складення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переліку</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акціонерів</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які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мають</w:t>
            </w:r>
            <w:proofErr w:type="spellEnd"/>
            <w:r w:rsidRPr="00217020">
              <w:rPr>
                <w:rFonts w:ascii="Times New Roman" w:hAnsi="Times New Roman" w:cs="Times New Roman"/>
              </w:rPr>
              <w:t xml:space="preserve"> право на участь у </w:t>
            </w:r>
            <w:proofErr w:type="spellStart"/>
            <w:r w:rsidRPr="00217020">
              <w:rPr>
                <w:rFonts w:ascii="Times New Roman" w:hAnsi="Times New Roman" w:cs="Times New Roman"/>
              </w:rPr>
              <w:t>Загальних</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зборах</w:t>
            </w:r>
            <w:proofErr w:type="spellEnd"/>
            <w:r w:rsidRPr="00217020">
              <w:rPr>
                <w:rFonts w:ascii="Times New Roman" w:hAnsi="Times New Roman" w:cs="Times New Roman"/>
              </w:rPr>
              <w:t xml:space="preserve"> – </w:t>
            </w:r>
            <w:r w:rsidRPr="00217020">
              <w:rPr>
                <w:rFonts w:ascii="Times New Roman" w:hAnsi="Times New Roman" w:cs="Times New Roman"/>
                <w:b/>
                <w:lang w:val="uk-UA"/>
              </w:rPr>
              <w:t>24</w:t>
            </w:r>
            <w:r w:rsidRPr="00217020">
              <w:rPr>
                <w:rFonts w:ascii="Times New Roman" w:hAnsi="Times New Roman" w:cs="Times New Roman"/>
                <w:b/>
              </w:rPr>
              <w:t>.04.2023 року.</w:t>
            </w:r>
          </w:p>
          <w:p w:rsidR="00BF3626" w:rsidRPr="00217020" w:rsidRDefault="00BF3626" w:rsidP="003536BF">
            <w:pPr>
              <w:spacing w:after="0" w:line="240" w:lineRule="auto"/>
              <w:jc w:val="both"/>
              <w:rPr>
                <w:rFonts w:ascii="Times New Roman" w:hAnsi="Times New Roman" w:cs="Times New Roman"/>
                <w:b/>
                <w:lang w:val="uk-UA"/>
              </w:rPr>
            </w:pPr>
          </w:p>
          <w:p w:rsidR="00BF3626" w:rsidRPr="00217020" w:rsidRDefault="00BF3626" w:rsidP="003536BF">
            <w:pPr>
              <w:spacing w:after="0" w:line="240" w:lineRule="auto"/>
              <w:jc w:val="both"/>
              <w:rPr>
                <w:rFonts w:ascii="Times New Roman" w:hAnsi="Times New Roman" w:cs="Times New Roman"/>
                <w:b/>
                <w:lang w:val="uk-UA"/>
              </w:rPr>
            </w:pPr>
            <w:proofErr w:type="spellStart"/>
            <w:r w:rsidRPr="00217020">
              <w:rPr>
                <w:rFonts w:ascii="Times New Roman" w:hAnsi="Times New Roman" w:cs="Times New Roman"/>
                <w:b/>
                <w:lang w:val="uk-UA"/>
              </w:rPr>
              <w:t>Проєкт</w:t>
            </w:r>
            <w:proofErr w:type="spellEnd"/>
            <w:r w:rsidRPr="00217020">
              <w:rPr>
                <w:rFonts w:ascii="Times New Roman" w:hAnsi="Times New Roman" w:cs="Times New Roman"/>
                <w:b/>
                <w:lang w:val="uk-UA"/>
              </w:rPr>
              <w:t xml:space="preserve"> порядку денного дистанційних річних Загальних зборів акціонерів АТ «КРЕДИТВЕСТ БАНК»:</w:t>
            </w:r>
          </w:p>
          <w:p w:rsidR="00BF3626" w:rsidRPr="00217020" w:rsidRDefault="00BF3626" w:rsidP="00BF3626">
            <w:pPr>
              <w:pStyle w:val="a3"/>
              <w:numPr>
                <w:ilvl w:val="0"/>
                <w:numId w:val="2"/>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Р</w:t>
            </w:r>
            <w:proofErr w:type="spellStart"/>
            <w:r w:rsidRPr="00217020">
              <w:rPr>
                <w:rFonts w:ascii="Times New Roman" w:hAnsi="Times New Roman" w:cs="Times New Roman"/>
              </w:rPr>
              <w:t>озгляд</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звіту</w:t>
            </w:r>
            <w:proofErr w:type="spellEnd"/>
            <w:r w:rsidRPr="00217020">
              <w:rPr>
                <w:rFonts w:ascii="Times New Roman" w:hAnsi="Times New Roman" w:cs="Times New Roman"/>
              </w:rPr>
              <w:t xml:space="preserve"> </w:t>
            </w:r>
            <w:r w:rsidRPr="00217020">
              <w:rPr>
                <w:rFonts w:ascii="Times New Roman" w:hAnsi="Times New Roman" w:cs="Times New Roman"/>
                <w:lang w:val="uk-UA"/>
              </w:rPr>
              <w:t>Н</w:t>
            </w:r>
            <w:proofErr w:type="spellStart"/>
            <w:r w:rsidRPr="00217020">
              <w:rPr>
                <w:rFonts w:ascii="Times New Roman" w:hAnsi="Times New Roman" w:cs="Times New Roman"/>
              </w:rPr>
              <w:t>аглядової</w:t>
            </w:r>
            <w:proofErr w:type="spellEnd"/>
            <w:r w:rsidRPr="00217020">
              <w:rPr>
                <w:rFonts w:ascii="Times New Roman" w:hAnsi="Times New Roman" w:cs="Times New Roman"/>
              </w:rPr>
              <w:t xml:space="preserve"> ради </w:t>
            </w:r>
            <w:r w:rsidRPr="00217020">
              <w:rPr>
                <w:rFonts w:ascii="Times New Roman" w:hAnsi="Times New Roman" w:cs="Times New Roman"/>
                <w:lang w:val="uk-UA"/>
              </w:rPr>
              <w:t>Банку</w:t>
            </w:r>
            <w:r w:rsidRPr="00217020">
              <w:rPr>
                <w:rFonts w:ascii="Times New Roman" w:hAnsi="Times New Roman" w:cs="Times New Roman"/>
              </w:rPr>
              <w:t xml:space="preserve">, </w:t>
            </w:r>
            <w:proofErr w:type="spellStart"/>
            <w:r w:rsidRPr="00217020">
              <w:rPr>
                <w:rFonts w:ascii="Times New Roman" w:hAnsi="Times New Roman" w:cs="Times New Roman"/>
              </w:rPr>
              <w:t>прийняття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рішення</w:t>
            </w:r>
            <w:proofErr w:type="spellEnd"/>
            <w:r w:rsidRPr="00217020">
              <w:rPr>
                <w:rFonts w:ascii="Times New Roman" w:hAnsi="Times New Roman" w:cs="Times New Roman"/>
              </w:rPr>
              <w:t xml:space="preserve"> за результатами </w:t>
            </w:r>
            <w:proofErr w:type="spellStart"/>
            <w:r w:rsidRPr="00217020">
              <w:rPr>
                <w:rFonts w:ascii="Times New Roman" w:hAnsi="Times New Roman" w:cs="Times New Roman"/>
              </w:rPr>
              <w:t>розгляду</w:t>
            </w:r>
            <w:proofErr w:type="spellEnd"/>
            <w:r w:rsidRPr="00217020">
              <w:rPr>
                <w:rFonts w:ascii="Times New Roman" w:hAnsi="Times New Roman" w:cs="Times New Roman"/>
              </w:rPr>
              <w:t xml:space="preserve"> такого </w:t>
            </w:r>
            <w:proofErr w:type="spellStart"/>
            <w:r w:rsidRPr="00217020">
              <w:rPr>
                <w:rFonts w:ascii="Times New Roman" w:hAnsi="Times New Roman" w:cs="Times New Roman"/>
              </w:rPr>
              <w:t>звіту</w:t>
            </w:r>
            <w:proofErr w:type="spellEnd"/>
            <w:r w:rsidRPr="00217020">
              <w:rPr>
                <w:rFonts w:ascii="Times New Roman" w:hAnsi="Times New Roman" w:cs="Times New Roman"/>
                <w:lang w:val="uk-UA"/>
              </w:rPr>
              <w:t>.</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Проект рішення:</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 xml:space="preserve"> «Затвердити поданий на розгляд Загальним зборам звіт Наглядової ради Банку за 2022 рік.</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Визнати  діяльність Наглядової Ради Банку за 2022 рік ефективною та такою, що відповідає інтересам акціонерів, вкладників, інвесторів і сприяє подальшому розвитку Банку».</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i/>
                <w:lang w:val="uk-UA"/>
              </w:rPr>
            </w:pPr>
            <w:r w:rsidRPr="00217020">
              <w:rPr>
                <w:rFonts w:ascii="Times New Roman" w:hAnsi="Times New Roman" w:cs="Times New Roman"/>
                <w:i/>
                <w:lang w:val="uk-UA"/>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BF3626" w:rsidRPr="00217020" w:rsidRDefault="00BF3626" w:rsidP="003536BF">
            <w:pPr>
              <w:spacing w:after="0" w:line="240" w:lineRule="auto"/>
              <w:ind w:left="15" w:firstLine="345"/>
              <w:jc w:val="both"/>
              <w:rPr>
                <w:rFonts w:ascii="Times New Roman" w:hAnsi="Times New Roman" w:cs="Times New Roman"/>
                <w:lang w:val="uk-UA"/>
              </w:rPr>
            </w:pPr>
          </w:p>
          <w:p w:rsidR="00BF3626" w:rsidRPr="00217020" w:rsidRDefault="00BF3626" w:rsidP="00BF3626">
            <w:pPr>
              <w:pStyle w:val="a3"/>
              <w:numPr>
                <w:ilvl w:val="0"/>
                <w:numId w:val="2"/>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Розгляд висновків аудиторського звіту суб’єкта аудиторської діяльності відносно річного звіту Банку за 2022 рік та затвердження заходів за результатами розгляду такого звіту.</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Проект рішення:</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 xml:space="preserve">«Затвердити подані на розгляд Загальним зборам звіт та висновки зовнішнього незалежного аудитора Банку ТОВ «Бейкер </w:t>
            </w:r>
            <w:proofErr w:type="spellStart"/>
            <w:r w:rsidRPr="00217020">
              <w:rPr>
                <w:rFonts w:ascii="Times New Roman" w:hAnsi="Times New Roman" w:cs="Times New Roman"/>
                <w:lang w:val="uk-UA"/>
              </w:rPr>
              <w:t>Тіллі</w:t>
            </w:r>
            <w:proofErr w:type="spellEnd"/>
            <w:r w:rsidRPr="00217020">
              <w:rPr>
                <w:rFonts w:ascii="Times New Roman" w:hAnsi="Times New Roman" w:cs="Times New Roman"/>
                <w:lang w:val="uk-UA"/>
              </w:rPr>
              <w:t xml:space="preserve"> Україна» за результатами аудиторської перевірки фінансової звітності Банку за рік, який закінчився 31 грудня 2022 року, без зауважень та додаткових заходів».</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i/>
                <w:lang w:val="uk-UA"/>
              </w:rPr>
            </w:pPr>
            <w:r w:rsidRPr="00217020">
              <w:rPr>
                <w:rFonts w:ascii="Times New Roman" w:hAnsi="Times New Roman" w:cs="Times New Roman"/>
                <w:i/>
                <w:lang w:val="uk-UA"/>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BF3626" w:rsidRPr="00217020" w:rsidRDefault="00BF3626" w:rsidP="003536BF">
            <w:pPr>
              <w:pStyle w:val="a3"/>
              <w:spacing w:after="0" w:line="240" w:lineRule="auto"/>
              <w:ind w:left="15" w:firstLine="345"/>
              <w:rPr>
                <w:rFonts w:ascii="Times New Roman" w:hAnsi="Times New Roman" w:cs="Times New Roman"/>
                <w:lang w:val="uk-UA"/>
              </w:rPr>
            </w:pPr>
          </w:p>
          <w:p w:rsidR="00BF3626" w:rsidRPr="00217020" w:rsidRDefault="00BF3626" w:rsidP="00BF3626">
            <w:pPr>
              <w:pStyle w:val="a3"/>
              <w:numPr>
                <w:ilvl w:val="0"/>
                <w:numId w:val="2"/>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З</w:t>
            </w:r>
            <w:proofErr w:type="spellStart"/>
            <w:r w:rsidRPr="00217020">
              <w:rPr>
                <w:rFonts w:ascii="Times New Roman" w:hAnsi="Times New Roman" w:cs="Times New Roman"/>
              </w:rPr>
              <w:t>атвердження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результатів</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фінансово-господарської</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діяльності</w:t>
            </w:r>
            <w:proofErr w:type="spellEnd"/>
            <w:r w:rsidRPr="00217020">
              <w:rPr>
                <w:rFonts w:ascii="Times New Roman" w:hAnsi="Times New Roman" w:cs="Times New Roman"/>
              </w:rPr>
              <w:t xml:space="preserve"> за 2022 </w:t>
            </w:r>
            <w:proofErr w:type="spellStart"/>
            <w:r w:rsidRPr="00217020">
              <w:rPr>
                <w:rFonts w:ascii="Times New Roman" w:hAnsi="Times New Roman" w:cs="Times New Roman"/>
              </w:rPr>
              <w:t>рік</w:t>
            </w:r>
            <w:proofErr w:type="spellEnd"/>
            <w:r w:rsidRPr="00217020">
              <w:rPr>
                <w:rFonts w:ascii="Times New Roman" w:hAnsi="Times New Roman" w:cs="Times New Roman"/>
              </w:rPr>
              <w:t xml:space="preserve"> та </w:t>
            </w:r>
            <w:proofErr w:type="spellStart"/>
            <w:r w:rsidRPr="00217020">
              <w:rPr>
                <w:rFonts w:ascii="Times New Roman" w:hAnsi="Times New Roman" w:cs="Times New Roman"/>
              </w:rPr>
              <w:t>затвердження</w:t>
            </w:r>
            <w:proofErr w:type="spellEnd"/>
            <w:r w:rsidRPr="00217020">
              <w:rPr>
                <w:rFonts w:ascii="Times New Roman" w:hAnsi="Times New Roman" w:cs="Times New Roman"/>
              </w:rPr>
              <w:t xml:space="preserve"> порядку </w:t>
            </w:r>
            <w:proofErr w:type="spellStart"/>
            <w:r w:rsidRPr="00217020">
              <w:rPr>
                <w:rFonts w:ascii="Times New Roman" w:hAnsi="Times New Roman" w:cs="Times New Roman"/>
              </w:rPr>
              <w:t>покриття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збитків</w:t>
            </w:r>
            <w:proofErr w:type="spellEnd"/>
            <w:r w:rsidRPr="00217020">
              <w:rPr>
                <w:rFonts w:ascii="Times New Roman" w:hAnsi="Times New Roman" w:cs="Times New Roman"/>
              </w:rPr>
              <w:t xml:space="preserve"> </w:t>
            </w:r>
            <w:r w:rsidRPr="00217020">
              <w:rPr>
                <w:rFonts w:ascii="Times New Roman" w:hAnsi="Times New Roman" w:cs="Times New Roman"/>
                <w:lang w:val="uk-UA"/>
              </w:rPr>
              <w:t>Банку за підсумками роботи в 2022 році.</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Проект рішення:</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Pr>
                <w:rFonts w:ascii="Times New Roman" w:hAnsi="Times New Roman" w:cs="Times New Roman"/>
                <w:lang w:val="uk-UA"/>
              </w:rPr>
              <w:t>«3.1. </w:t>
            </w:r>
            <w:r w:rsidRPr="00217020">
              <w:rPr>
                <w:rFonts w:ascii="Times New Roman" w:hAnsi="Times New Roman" w:cs="Times New Roman"/>
                <w:lang w:val="uk-UA"/>
              </w:rPr>
              <w:t>Затвердити результати фінансово-господарської діяльності Банку за 2022 рік та річний звіт Банку за 2022 рік, який включає річну фінансову звітність Банку за 2022 рік згідно з міжнародними стандартами фінансової звітності.</w:t>
            </w:r>
          </w:p>
          <w:p w:rsidR="00BF3626" w:rsidRPr="0091530D" w:rsidRDefault="00BF3626" w:rsidP="00BF3626">
            <w:pPr>
              <w:pStyle w:val="a3"/>
              <w:numPr>
                <w:ilvl w:val="1"/>
                <w:numId w:val="3"/>
              </w:numPr>
              <w:spacing w:after="0" w:line="240" w:lineRule="auto"/>
              <w:ind w:left="15" w:firstLine="345"/>
              <w:jc w:val="both"/>
              <w:rPr>
                <w:rFonts w:ascii="Times New Roman" w:hAnsi="Times New Roman" w:cs="Times New Roman"/>
                <w:lang w:val="uk-UA"/>
              </w:rPr>
            </w:pPr>
            <w:r w:rsidRPr="0091530D">
              <w:rPr>
                <w:rFonts w:ascii="Times New Roman" w:hAnsi="Times New Roman" w:cs="Times New Roman"/>
                <w:lang w:val="uk-UA"/>
              </w:rPr>
              <w:lastRenderedPageBreak/>
              <w:t xml:space="preserve">Затвердити фінансовий результат  Банку за 2022 рік, а саме збиток, що складає  3 519 521,20 грн. (Три мільйони п’ятсот дев’ятнадцять тисяч п’ятсот  двадцять одна грн. 20 коп.) </w:t>
            </w:r>
            <w:r w:rsidRPr="0091530D">
              <w:rPr>
                <w:rFonts w:ascii="Times New Roman" w:hAnsi="Times New Roman" w:cs="Times New Roman"/>
              </w:rPr>
              <w:t>т</w:t>
            </w:r>
            <w:r w:rsidRPr="0091530D">
              <w:rPr>
                <w:rFonts w:ascii="Times New Roman" w:hAnsi="Times New Roman" w:cs="Times New Roman"/>
                <w:lang w:val="uk-UA"/>
              </w:rPr>
              <w:t>а</w:t>
            </w:r>
            <w:r w:rsidRPr="0091530D">
              <w:rPr>
                <w:rFonts w:ascii="Times New Roman" w:hAnsi="Times New Roman" w:cs="Times New Roman"/>
              </w:rPr>
              <w:t xml:space="preserve"> </w:t>
            </w:r>
            <w:r w:rsidRPr="0091530D">
              <w:rPr>
                <w:rFonts w:ascii="Times New Roman" w:hAnsi="Times New Roman" w:cs="Times New Roman"/>
                <w:lang w:val="uk-UA"/>
              </w:rPr>
              <w:t>покрити його наступним чином:</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Спрямувати частину нерозподіленого прибутку Банку за 2021 рік в сумі 3 519 521,20 грн.  (Три мільйони п’ятсот дев’ятнадцять тисяч п’ятсот  двадцять одна грн. 20 коп.) на покриття збитку Банку за 2022 рік.</w:t>
            </w:r>
            <w:r>
              <w:rPr>
                <w:rFonts w:ascii="Times New Roman" w:hAnsi="Times New Roman" w:cs="Times New Roman"/>
                <w:lang w:val="uk-UA"/>
              </w:rPr>
              <w:t xml:space="preserve"> </w:t>
            </w:r>
            <w:r w:rsidRPr="00217020">
              <w:rPr>
                <w:rFonts w:ascii="Times New Roman" w:hAnsi="Times New Roman" w:cs="Times New Roman"/>
                <w:lang w:val="uk-UA"/>
              </w:rPr>
              <w:t>Дивіденди за 2022 рік не виплачувати.»</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2A3DB4">
            <w:pPr>
              <w:pStyle w:val="a3"/>
              <w:spacing w:after="0" w:line="240" w:lineRule="auto"/>
              <w:ind w:left="15" w:firstLine="345"/>
              <w:jc w:val="both"/>
              <w:rPr>
                <w:rFonts w:ascii="Times New Roman" w:hAnsi="Times New Roman" w:cs="Times New Roman"/>
                <w:i/>
                <w:lang w:val="uk-UA"/>
              </w:rPr>
            </w:pPr>
            <w:bookmarkStart w:id="0" w:name="_GoBack"/>
            <w:r w:rsidRPr="00217020">
              <w:rPr>
                <w:rFonts w:ascii="Times New Roman" w:hAnsi="Times New Roman" w:cs="Times New Roman"/>
                <w:i/>
                <w:lang w:val="uk-UA"/>
              </w:rPr>
              <w:t>Можливість підрахунку голосів та прийняття рішення з цього питання залежить від прийняття рішення з питання 2 проекту порядку денного.</w:t>
            </w:r>
          </w:p>
          <w:p w:rsidR="00BF3626" w:rsidRPr="00217020" w:rsidRDefault="00BF3626" w:rsidP="002A3DB4">
            <w:pPr>
              <w:pStyle w:val="a3"/>
              <w:spacing w:after="0" w:line="240" w:lineRule="auto"/>
              <w:ind w:left="15" w:firstLine="345"/>
              <w:jc w:val="both"/>
              <w:rPr>
                <w:rFonts w:ascii="Times New Roman" w:hAnsi="Times New Roman" w:cs="Times New Roman"/>
                <w:lang w:val="uk-UA"/>
              </w:rPr>
            </w:pPr>
          </w:p>
          <w:p w:rsidR="00BF3626" w:rsidRPr="00217020" w:rsidRDefault="00BF3626" w:rsidP="002A3DB4">
            <w:pPr>
              <w:pStyle w:val="a3"/>
              <w:numPr>
                <w:ilvl w:val="0"/>
                <w:numId w:val="1"/>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 затвердження Звіту про винагороду членів Наглядової ради Банку за 2022 рік.</w:t>
            </w:r>
          </w:p>
          <w:p w:rsidR="00BF3626" w:rsidRPr="00217020" w:rsidRDefault="00BF3626" w:rsidP="002A3DB4">
            <w:pPr>
              <w:pStyle w:val="a3"/>
              <w:spacing w:after="0" w:line="240" w:lineRule="auto"/>
              <w:ind w:left="15" w:firstLine="345"/>
              <w:jc w:val="both"/>
              <w:rPr>
                <w:rFonts w:ascii="Times New Roman" w:hAnsi="Times New Roman" w:cs="Times New Roman"/>
                <w:lang w:val="uk-UA"/>
              </w:rPr>
            </w:pPr>
          </w:p>
          <w:p w:rsidR="00BF3626" w:rsidRPr="00217020" w:rsidRDefault="00BF3626" w:rsidP="002A3DB4">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 xml:space="preserve">Проект рішення: </w:t>
            </w:r>
          </w:p>
          <w:p w:rsidR="00BF3626" w:rsidRPr="00217020" w:rsidRDefault="00BF3626" w:rsidP="002A3DB4">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w:t>
            </w:r>
            <w:proofErr w:type="spellStart"/>
            <w:r w:rsidRPr="00217020">
              <w:rPr>
                <w:rFonts w:ascii="Times New Roman" w:hAnsi="Times New Roman" w:cs="Times New Roman"/>
              </w:rPr>
              <w:t>Затвердити</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Звіт</w:t>
            </w:r>
            <w:proofErr w:type="spellEnd"/>
            <w:r w:rsidRPr="00217020">
              <w:rPr>
                <w:rFonts w:ascii="Times New Roman" w:hAnsi="Times New Roman" w:cs="Times New Roman"/>
              </w:rPr>
              <w:t xml:space="preserve"> про </w:t>
            </w:r>
            <w:proofErr w:type="spellStart"/>
            <w:r w:rsidRPr="00217020">
              <w:rPr>
                <w:rFonts w:ascii="Times New Roman" w:hAnsi="Times New Roman" w:cs="Times New Roman"/>
              </w:rPr>
              <w:t>винагороду</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членів</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Наглядової</w:t>
            </w:r>
            <w:proofErr w:type="spellEnd"/>
            <w:r w:rsidRPr="00217020">
              <w:rPr>
                <w:rFonts w:ascii="Times New Roman" w:hAnsi="Times New Roman" w:cs="Times New Roman"/>
              </w:rPr>
              <w:t xml:space="preserve"> ради Банку за 2022 </w:t>
            </w:r>
            <w:proofErr w:type="spellStart"/>
            <w:r w:rsidRPr="00217020">
              <w:rPr>
                <w:rFonts w:ascii="Times New Roman" w:hAnsi="Times New Roman" w:cs="Times New Roman"/>
              </w:rPr>
              <w:t>рік</w:t>
            </w:r>
            <w:proofErr w:type="spellEnd"/>
            <w:r w:rsidRPr="00217020">
              <w:rPr>
                <w:rFonts w:ascii="Times New Roman" w:hAnsi="Times New Roman" w:cs="Times New Roman"/>
              </w:rPr>
              <w:t>.</w:t>
            </w:r>
            <w:r w:rsidRPr="00217020">
              <w:rPr>
                <w:rFonts w:ascii="Times New Roman" w:hAnsi="Times New Roman" w:cs="Times New Roman"/>
                <w:lang w:val="uk-UA"/>
              </w:rPr>
              <w:t>»</w:t>
            </w:r>
          </w:p>
          <w:p w:rsidR="00BF3626" w:rsidRPr="00217020" w:rsidRDefault="00BF3626" w:rsidP="002A3DB4">
            <w:pPr>
              <w:pStyle w:val="a3"/>
              <w:spacing w:after="0" w:line="240" w:lineRule="auto"/>
              <w:ind w:left="15" w:firstLine="345"/>
              <w:jc w:val="both"/>
              <w:rPr>
                <w:rFonts w:ascii="Times New Roman" w:hAnsi="Times New Roman" w:cs="Times New Roman"/>
                <w:lang w:val="uk-UA"/>
              </w:rPr>
            </w:pPr>
          </w:p>
          <w:p w:rsidR="00BF3626" w:rsidRPr="00217020" w:rsidRDefault="00BF3626" w:rsidP="002A3DB4">
            <w:pPr>
              <w:pStyle w:val="a3"/>
              <w:spacing w:after="0" w:line="240" w:lineRule="auto"/>
              <w:ind w:left="15" w:firstLine="345"/>
              <w:jc w:val="both"/>
              <w:rPr>
                <w:rFonts w:ascii="Times New Roman" w:hAnsi="Times New Roman" w:cs="Times New Roman"/>
                <w:i/>
                <w:lang w:val="uk-UA"/>
              </w:rPr>
            </w:pPr>
            <w:r w:rsidRPr="00217020">
              <w:rPr>
                <w:rFonts w:ascii="Times New Roman" w:hAnsi="Times New Roman" w:cs="Times New Roman"/>
                <w:i/>
                <w:lang w:val="uk-UA"/>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BF3626" w:rsidRPr="00217020" w:rsidRDefault="00BF3626" w:rsidP="002A3DB4">
            <w:pPr>
              <w:pStyle w:val="a3"/>
              <w:spacing w:after="0" w:line="240" w:lineRule="auto"/>
              <w:ind w:left="15" w:firstLine="345"/>
              <w:rPr>
                <w:rFonts w:ascii="Times New Roman" w:hAnsi="Times New Roman" w:cs="Times New Roman"/>
                <w:lang w:val="uk-UA"/>
              </w:rPr>
            </w:pPr>
          </w:p>
          <w:p w:rsidR="00BF3626" w:rsidRPr="00217020" w:rsidRDefault="00BF3626" w:rsidP="002A3DB4">
            <w:pPr>
              <w:pStyle w:val="a3"/>
              <w:numPr>
                <w:ilvl w:val="0"/>
                <w:numId w:val="1"/>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Щ</w:t>
            </w:r>
            <w:proofErr w:type="spellStart"/>
            <w:r w:rsidRPr="00217020">
              <w:rPr>
                <w:rFonts w:ascii="Times New Roman" w:hAnsi="Times New Roman" w:cs="Times New Roman"/>
              </w:rPr>
              <w:t>одо</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доцільності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внесення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змін</w:t>
            </w:r>
            <w:proofErr w:type="spellEnd"/>
            <w:r w:rsidRPr="00217020">
              <w:rPr>
                <w:rFonts w:ascii="Times New Roman" w:hAnsi="Times New Roman" w:cs="Times New Roman"/>
              </w:rPr>
              <w:t xml:space="preserve"> до </w:t>
            </w:r>
            <w:proofErr w:type="spellStart"/>
            <w:r w:rsidRPr="00217020">
              <w:rPr>
                <w:rFonts w:ascii="Times New Roman" w:hAnsi="Times New Roman" w:cs="Times New Roman"/>
              </w:rPr>
              <w:t>Положення</w:t>
            </w:r>
            <w:proofErr w:type="spellEnd"/>
            <w:r w:rsidRPr="00217020">
              <w:rPr>
                <w:rFonts w:ascii="Times New Roman" w:hAnsi="Times New Roman" w:cs="Times New Roman"/>
              </w:rPr>
              <w:t xml:space="preserve"> про </w:t>
            </w:r>
            <w:proofErr w:type="spellStart"/>
            <w:r w:rsidRPr="00217020">
              <w:rPr>
                <w:rFonts w:ascii="Times New Roman" w:hAnsi="Times New Roman" w:cs="Times New Roman"/>
              </w:rPr>
              <w:t>винагороду</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членів</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Наглядової</w:t>
            </w:r>
            <w:proofErr w:type="spellEnd"/>
            <w:r w:rsidRPr="00217020">
              <w:rPr>
                <w:rFonts w:ascii="Times New Roman" w:hAnsi="Times New Roman" w:cs="Times New Roman"/>
              </w:rPr>
              <w:t xml:space="preserve"> ради </w:t>
            </w:r>
            <w:r w:rsidRPr="00217020">
              <w:rPr>
                <w:rFonts w:ascii="Times New Roman" w:hAnsi="Times New Roman" w:cs="Times New Roman"/>
                <w:lang w:val="uk-UA"/>
              </w:rPr>
              <w:t>Банку</w:t>
            </w:r>
            <w:r w:rsidRPr="00217020">
              <w:rPr>
                <w:rFonts w:ascii="Times New Roman" w:hAnsi="Times New Roman" w:cs="Times New Roman"/>
              </w:rPr>
              <w:t>.</w:t>
            </w:r>
          </w:p>
          <w:bookmarkEnd w:id="0"/>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Проект рішення:</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«Визначити, що Положення про винагороду членів Наглядової ради АКЦІОНЕРНОГО ТОВАРИСТВА "ВЕСТ ФАЙНЕНС ЕНД КРЕДИТ БАНК", затверджене рішенням позачергових Загальних зборів акціонерів АТ «КРЕДИТВЕСТ БАНК» від 10.08.2022 (Протокол №</w:t>
            </w:r>
            <w:r>
              <w:rPr>
                <w:rFonts w:ascii="Times New Roman" w:hAnsi="Times New Roman" w:cs="Times New Roman"/>
                <w:lang w:val="uk-UA"/>
              </w:rPr>
              <w:t> </w:t>
            </w:r>
            <w:r w:rsidRPr="00217020">
              <w:rPr>
                <w:rFonts w:ascii="Times New Roman" w:hAnsi="Times New Roman" w:cs="Times New Roman"/>
                <w:lang w:val="uk-UA"/>
              </w:rPr>
              <w:t>36), відповідає вимогам законодавства України, у зв’язку з чим внесення до нього змін є недоцільним.»</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i/>
                <w:lang w:val="uk-UA"/>
              </w:rPr>
            </w:pPr>
            <w:r w:rsidRPr="00217020">
              <w:rPr>
                <w:rFonts w:ascii="Times New Roman" w:hAnsi="Times New Roman" w:cs="Times New Roman"/>
                <w:i/>
                <w:lang w:val="uk-UA"/>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BF3626">
            <w:pPr>
              <w:pStyle w:val="a3"/>
              <w:numPr>
                <w:ilvl w:val="0"/>
                <w:numId w:val="1"/>
              </w:numPr>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В</w:t>
            </w:r>
            <w:proofErr w:type="spellStart"/>
            <w:r w:rsidRPr="00217020">
              <w:rPr>
                <w:rFonts w:ascii="Times New Roman" w:hAnsi="Times New Roman" w:cs="Times New Roman"/>
              </w:rPr>
              <w:t>изначення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основних</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напрямів</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діяльності</w:t>
            </w:r>
            <w:proofErr w:type="spellEnd"/>
            <w:r w:rsidRPr="00217020">
              <w:rPr>
                <w:rFonts w:ascii="Times New Roman" w:hAnsi="Times New Roman" w:cs="Times New Roman"/>
              </w:rPr>
              <w:t xml:space="preserve"> </w:t>
            </w:r>
            <w:r w:rsidRPr="00217020">
              <w:rPr>
                <w:rFonts w:ascii="Times New Roman" w:hAnsi="Times New Roman" w:cs="Times New Roman"/>
                <w:lang w:val="uk-UA"/>
              </w:rPr>
              <w:t>Банку на 2023 рік.</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Проект рішення:</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r w:rsidRPr="00217020">
              <w:rPr>
                <w:rFonts w:ascii="Times New Roman" w:hAnsi="Times New Roman" w:cs="Times New Roman"/>
                <w:lang w:val="uk-UA"/>
              </w:rPr>
              <w:t>«Визначити та затвердити основні напрями діяльності Банку на 2023 рік, зазначені в додатку до Протоколу.»</w:t>
            </w:r>
          </w:p>
          <w:p w:rsidR="00BF3626" w:rsidRPr="00217020" w:rsidRDefault="00BF3626" w:rsidP="003536BF">
            <w:pPr>
              <w:pStyle w:val="a3"/>
              <w:spacing w:after="0" w:line="240" w:lineRule="auto"/>
              <w:ind w:left="15" w:firstLine="345"/>
              <w:jc w:val="both"/>
              <w:rPr>
                <w:rFonts w:ascii="Times New Roman" w:hAnsi="Times New Roman" w:cs="Times New Roman"/>
                <w:lang w:val="uk-UA"/>
              </w:rPr>
            </w:pPr>
          </w:p>
          <w:p w:rsidR="00BF3626" w:rsidRDefault="00BF3626" w:rsidP="003536BF">
            <w:pPr>
              <w:spacing w:after="0" w:line="240" w:lineRule="auto"/>
              <w:ind w:left="15" w:firstLine="345"/>
              <w:jc w:val="both"/>
              <w:rPr>
                <w:rFonts w:ascii="Times New Roman" w:hAnsi="Times New Roman" w:cs="Times New Roman"/>
                <w:i/>
                <w:lang w:val="uk-UA"/>
              </w:rPr>
            </w:pPr>
            <w:r w:rsidRPr="00217020">
              <w:rPr>
                <w:rFonts w:ascii="Times New Roman" w:hAnsi="Times New Roman" w:cs="Times New Roman"/>
                <w:i/>
                <w:lang w:val="uk-UA"/>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BF3626" w:rsidRPr="00217020" w:rsidRDefault="00BF3626" w:rsidP="003536BF">
            <w:pPr>
              <w:spacing w:after="0" w:line="240" w:lineRule="auto"/>
              <w:ind w:left="693"/>
              <w:jc w:val="both"/>
              <w:rPr>
                <w:rFonts w:ascii="Times New Roman" w:hAnsi="Times New Roman" w:cs="Times New Roman"/>
                <w:b/>
                <w:iCs/>
                <w:lang w:val="uk-UA"/>
              </w:rPr>
            </w:pPr>
          </w:p>
          <w:p w:rsidR="00BF3626" w:rsidRPr="00217020" w:rsidRDefault="00BF3626" w:rsidP="003536BF">
            <w:pPr>
              <w:pStyle w:val="a3"/>
              <w:spacing w:after="0" w:line="240" w:lineRule="auto"/>
              <w:ind w:left="34"/>
              <w:jc w:val="both"/>
              <w:rPr>
                <w:rFonts w:ascii="Times New Roman" w:hAnsi="Times New Roman" w:cs="Times New Roman"/>
                <w:b/>
                <w:lang w:val="uk-UA"/>
              </w:rPr>
            </w:pPr>
            <w:r w:rsidRPr="00217020">
              <w:rPr>
                <w:rFonts w:ascii="Times New Roman" w:hAnsi="Times New Roman" w:cs="Times New Roman"/>
                <w:lang w:val="uk-UA"/>
              </w:rPr>
              <w:t xml:space="preserve">Адреса сторінки на власному веб-сайті АТ «КРЕДИТВЕСТ БАНК», на якій розміщена інформація з проектом рішень щодо кожного з питань, включених до порядку денного Загальних зборів акціонерів, повідомлення про проведення Загальних зборів акціонерів,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річних Загальних зборів акціонерів та станом на дату складання переліку акціонерів, які мають право на участь у річних Загальних зборах акціонерів, перелік документів, що має надати акціонер (представник акціонера) для його участі у річних Загальних зборах акціонерів - </w:t>
            </w:r>
            <w:hyperlink r:id="rId6" w:history="1">
              <w:r w:rsidRPr="00217020">
                <w:rPr>
                  <w:rStyle w:val="a5"/>
                  <w:rFonts w:ascii="Times New Roman" w:hAnsi="Times New Roman" w:cs="Times New Roman"/>
                  <w:b/>
                  <w:lang w:val="uk-UA"/>
                </w:rPr>
                <w:t>https://www.creditwest.ua/uk/</w:t>
              </w:r>
            </w:hyperlink>
            <w:r>
              <w:rPr>
                <w:rStyle w:val="a5"/>
                <w:rFonts w:ascii="Times New Roman" w:hAnsi="Times New Roman" w:cs="Times New Roman"/>
                <w:b/>
                <w:lang w:val="uk-UA"/>
              </w:rPr>
              <w:t>.</w:t>
            </w:r>
          </w:p>
          <w:p w:rsidR="00BF3626" w:rsidRPr="00217020" w:rsidRDefault="00BF3626" w:rsidP="003536BF">
            <w:pPr>
              <w:spacing w:after="0" w:line="240" w:lineRule="auto"/>
              <w:jc w:val="both"/>
              <w:rPr>
                <w:rFonts w:ascii="Times New Roman" w:hAnsi="Times New Roman" w:cs="Times New Roman"/>
                <w:lang w:val="uk-UA"/>
              </w:rPr>
            </w:pP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Кожен акціонер має право отримати, а Банк зобов'язаний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Зборів. Від дати надсилання повідомлення про проведення Зборів до дати проведення Зборів Банк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що надійшов засобами електронної пошти.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електронної ідентифікації, що відповідає вимогам, визначеним НКЦПФР) та направлений на адресу електронної</w:t>
            </w:r>
            <w:r w:rsidRPr="00217020">
              <w:rPr>
                <w:rFonts w:ascii="Times New Roman" w:hAnsi="Times New Roman" w:cs="Times New Roman"/>
              </w:rPr>
              <w:t xml:space="preserve"> </w:t>
            </w:r>
            <w:r w:rsidRPr="00217020">
              <w:rPr>
                <w:rFonts w:ascii="Times New Roman" w:hAnsi="Times New Roman" w:cs="Times New Roman"/>
                <w:lang w:val="uk-UA"/>
              </w:rPr>
              <w:t xml:space="preserve">пошти </w:t>
            </w:r>
            <w:hyperlink r:id="rId7" w:history="1">
              <w:r w:rsidRPr="00217020">
                <w:rPr>
                  <w:rStyle w:val="a5"/>
                  <w:rFonts w:ascii="Times New Roman" w:hAnsi="Times New Roman" w:cs="Times New Roman"/>
                  <w:lang w:val="uk-UA"/>
                </w:rPr>
                <w:t>Olena.</w:t>
              </w:r>
              <w:r w:rsidRPr="00217020">
                <w:rPr>
                  <w:rStyle w:val="a5"/>
                  <w:rFonts w:ascii="Times New Roman" w:hAnsi="Times New Roman" w:cs="Times New Roman"/>
                  <w:lang w:val="en-US"/>
                </w:rPr>
                <w:t>Timchenko</w:t>
              </w:r>
              <w:r w:rsidRPr="00217020">
                <w:rPr>
                  <w:rStyle w:val="a5"/>
                  <w:rFonts w:ascii="Times New Roman" w:hAnsi="Times New Roman" w:cs="Times New Roman"/>
                  <w:lang w:val="uk-UA"/>
                </w:rPr>
                <w:t>@creditwest.ua</w:t>
              </w:r>
            </w:hyperlink>
            <w:r w:rsidRPr="00217020">
              <w:rPr>
                <w:rFonts w:ascii="Times New Roman" w:hAnsi="Times New Roman" w:cs="Times New Roman"/>
                <w:lang w:val="uk-UA"/>
              </w:rPr>
              <w:t>.</w:t>
            </w:r>
            <w:r w:rsidRPr="00217020">
              <w:rPr>
                <w:rFonts w:ascii="Times New Roman" w:hAnsi="Times New Roman" w:cs="Times New Roman"/>
              </w:rPr>
              <w:t xml:space="preserve"> </w:t>
            </w:r>
            <w:r w:rsidRPr="00217020">
              <w:rPr>
                <w:rFonts w:ascii="Times New Roman" w:hAnsi="Times New Roman" w:cs="Times New Roman"/>
                <w:lang w:val="uk-UA"/>
              </w:rPr>
              <w:t xml:space="preserve">У разі отримання належним чином оформленого запиту від акціонера, особа, відповідальна за ознайомлення акціонерів з відповідними </w:t>
            </w:r>
            <w:r w:rsidRPr="00217020">
              <w:rPr>
                <w:rFonts w:ascii="Times New Roman" w:hAnsi="Times New Roman" w:cs="Times New Roman"/>
                <w:lang w:val="uk-UA"/>
              </w:rPr>
              <w:lastRenderedPageBreak/>
              <w:t xml:space="preserve">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або іншим засобом електронної ідентифікації, що відповідає вимогам, визначеним НКЦПФР. </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Банк до дати проведення Зборів надає відповіді на запитання акціонерів щодо питань, включених до порядку денного річних Загальних зборів акціонерів, отримані Банком не пізніше ніж за один робочий день до дати проведення Загальних зборів. Відповідні запити направляються акціонерами на адресу електронної пошти: </w:t>
            </w:r>
            <w:hyperlink r:id="rId8" w:history="1">
              <w:r w:rsidRPr="00BD798A">
                <w:rPr>
                  <w:rStyle w:val="a5"/>
                  <w:rFonts w:ascii="Times New Roman" w:hAnsi="Times New Roman" w:cs="Times New Roman"/>
                  <w:lang w:val="uk-UA"/>
                </w:rPr>
                <w:t>Olena.</w:t>
              </w:r>
              <w:r w:rsidRPr="00BD798A">
                <w:rPr>
                  <w:rStyle w:val="a5"/>
                  <w:rFonts w:ascii="Times New Roman" w:hAnsi="Times New Roman" w:cs="Times New Roman"/>
                  <w:lang w:val="en-US"/>
                </w:rPr>
                <w:t>Timchenko</w:t>
              </w:r>
              <w:r w:rsidRPr="00BD798A">
                <w:rPr>
                  <w:rStyle w:val="a5"/>
                  <w:rFonts w:ascii="Times New Roman" w:hAnsi="Times New Roman" w:cs="Times New Roman"/>
                  <w:lang w:val="uk-UA"/>
                </w:rPr>
                <w:t>@creditwest.ua</w:t>
              </w:r>
            </w:hyperlink>
            <w:r w:rsidRPr="008E54AF">
              <w:rPr>
                <w:rStyle w:val="a5"/>
                <w:rFonts w:ascii="Times New Roman" w:hAnsi="Times New Roman" w:cs="Times New Roman"/>
                <w:lang w:val="uk-UA"/>
              </w:rPr>
              <w:t xml:space="preserve"> </w:t>
            </w:r>
            <w:r w:rsidRPr="00217020">
              <w:rPr>
                <w:rFonts w:ascii="Times New Roman" w:hAnsi="Times New Roman" w:cs="Times New Roman"/>
                <w:lang w:val="uk-UA"/>
              </w:rPr>
              <w:t>із засвідченням такого запиту кваліфікованим електронним підписом такого акціонера (іншим засобом електронної ідентифікації, що відповідає вимогам, визначеним НКЦПФР).</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Банк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із або іншим засобом електронної ідентифікації, що відповідає вимогам, визначеним НКЦПФР.</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Відповідальною особою за ознайомлення акціонерів з матеріалами (документами), необхідними для прийняття рішень з питань порядку денного Зборів під час підготовки до Зборів є Директор </w:t>
            </w:r>
            <w:r>
              <w:rPr>
                <w:rFonts w:ascii="Times New Roman" w:hAnsi="Times New Roman" w:cs="Times New Roman"/>
                <w:lang w:val="uk-UA"/>
              </w:rPr>
              <w:t>Ю</w:t>
            </w:r>
            <w:r w:rsidRPr="00217020">
              <w:rPr>
                <w:rFonts w:ascii="Times New Roman" w:hAnsi="Times New Roman" w:cs="Times New Roman"/>
                <w:lang w:val="uk-UA"/>
              </w:rPr>
              <w:t xml:space="preserve">ридичного </w:t>
            </w:r>
            <w:r>
              <w:rPr>
                <w:rFonts w:ascii="Times New Roman" w:hAnsi="Times New Roman" w:cs="Times New Roman"/>
                <w:lang w:val="uk-UA"/>
              </w:rPr>
              <w:t>д</w:t>
            </w:r>
            <w:r w:rsidRPr="00217020">
              <w:rPr>
                <w:rFonts w:ascii="Times New Roman" w:hAnsi="Times New Roman" w:cs="Times New Roman"/>
                <w:lang w:val="uk-UA"/>
              </w:rPr>
              <w:t>епартаменту Лисенко Олексій Петрович, контактний телефон 044 365 00 01.</w:t>
            </w:r>
          </w:p>
          <w:p w:rsidR="00BF3626" w:rsidRPr="00217020" w:rsidRDefault="00BF3626" w:rsidP="003536BF">
            <w:pPr>
              <w:spacing w:after="120" w:line="240" w:lineRule="auto"/>
              <w:jc w:val="both"/>
              <w:rPr>
                <w:rFonts w:ascii="Times New Roman" w:eastAsia="Calibri" w:hAnsi="Times New Roman" w:cs="Times New Roman"/>
                <w:lang w:val="uk-UA" w:eastAsia="ru-RU"/>
              </w:rPr>
            </w:pPr>
            <w:r w:rsidRPr="00217020">
              <w:rPr>
                <w:rFonts w:ascii="Times New Roman" w:eastAsia="Calibri" w:hAnsi="Times New Roman" w:cs="Times New Roman"/>
              </w:rPr>
              <w:t xml:space="preserve">    </w:t>
            </w:r>
            <w:r w:rsidRPr="00217020">
              <w:rPr>
                <w:rFonts w:ascii="Times New Roman" w:eastAsia="Calibri" w:hAnsi="Times New Roman" w:cs="Times New Roman"/>
                <w:lang w:val="uk-UA"/>
              </w:rPr>
              <w:t xml:space="preserve">Кожний акціонер має право </w:t>
            </w:r>
            <w:proofErr w:type="spellStart"/>
            <w:r w:rsidRPr="00217020">
              <w:rPr>
                <w:rFonts w:ascii="Times New Roman" w:eastAsia="Calibri" w:hAnsi="Times New Roman" w:cs="Times New Roman"/>
                <w:lang w:val="uk-UA"/>
              </w:rPr>
              <w:t>внести</w:t>
            </w:r>
            <w:proofErr w:type="spellEnd"/>
            <w:r w:rsidRPr="00217020">
              <w:rPr>
                <w:rFonts w:ascii="Times New Roman" w:eastAsia="Calibri" w:hAnsi="Times New Roman" w:cs="Times New Roman"/>
                <w:lang w:val="uk-UA"/>
              </w:rPr>
              <w:t xml:space="preserve"> пропозиції щодо питань, включених до проекту порядку денного Зборів, а також щодо нових кандидатів до складу Наглядової Ради, кількість яких не може перевищувати її кількісного складу. Пропозиції щодо включення нових питань до проекту порядку денного подаються у строк не пізніше ніж за 20 днів до дати проведення Зборів і повинні містити відповідні проекти рішень з цих питань. Пропозиції щодо кандидатів у члени Наглядової Ради подаються у строк не пізніше ніж за 7 днів до дати проведення Зборів і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АТ «КРЕДИТВЕСТ БАНК» - незалежного директора.</w:t>
            </w:r>
          </w:p>
          <w:p w:rsidR="00BF3626" w:rsidRPr="00217020" w:rsidRDefault="00BF3626" w:rsidP="003536BF">
            <w:pPr>
              <w:spacing w:after="120" w:line="240" w:lineRule="auto"/>
              <w:jc w:val="both"/>
              <w:rPr>
                <w:rFonts w:ascii="Times New Roman" w:eastAsia="Calibri" w:hAnsi="Times New Roman" w:cs="Times New Roman"/>
                <w:lang w:val="uk-UA" w:eastAsia="ru-RU"/>
              </w:rPr>
            </w:pPr>
            <w:r w:rsidRPr="00217020">
              <w:rPr>
                <w:rFonts w:ascii="Times New Roman" w:eastAsia="Calibri" w:hAnsi="Times New Roman" w:cs="Times New Roman"/>
                <w:lang w:val="uk-UA"/>
              </w:rPr>
              <w:t xml:space="preserve">Пропозиція до </w:t>
            </w:r>
            <w:proofErr w:type="spellStart"/>
            <w:r w:rsidRPr="00217020">
              <w:rPr>
                <w:rFonts w:ascii="Times New Roman" w:eastAsia="Calibri" w:hAnsi="Times New Roman" w:cs="Times New Roman"/>
                <w:lang w:val="uk-UA"/>
              </w:rPr>
              <w:t>проєкту</w:t>
            </w:r>
            <w:proofErr w:type="spellEnd"/>
            <w:r w:rsidRPr="00217020">
              <w:rPr>
                <w:rFonts w:ascii="Times New Roman" w:eastAsia="Calibri" w:hAnsi="Times New Roman" w:cs="Times New Roman"/>
                <w:lang w:val="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217020">
              <w:rPr>
                <w:rFonts w:ascii="Times New Roman" w:eastAsia="Calibri" w:hAnsi="Times New Roman" w:cs="Times New Roman"/>
                <w:lang w:val="uk-UA"/>
              </w:rPr>
              <w:t>проєкту</w:t>
            </w:r>
            <w:proofErr w:type="spellEnd"/>
            <w:r w:rsidRPr="00217020">
              <w:rPr>
                <w:rFonts w:ascii="Times New Roman" w:eastAsia="Calibri" w:hAnsi="Times New Roman" w:cs="Times New Roman"/>
                <w:lang w:val="uk-UA"/>
              </w:rPr>
              <w:t xml:space="preserve"> порядку денного та/або нові </w:t>
            </w:r>
            <w:proofErr w:type="spellStart"/>
            <w:r w:rsidRPr="00217020">
              <w:rPr>
                <w:rFonts w:ascii="Times New Roman" w:eastAsia="Calibri" w:hAnsi="Times New Roman" w:cs="Times New Roman"/>
                <w:lang w:val="uk-UA"/>
              </w:rPr>
              <w:t>проєкти</w:t>
            </w:r>
            <w:proofErr w:type="spellEnd"/>
            <w:r w:rsidRPr="00217020">
              <w:rPr>
                <w:rFonts w:ascii="Times New Roman" w:eastAsia="Calibri" w:hAnsi="Times New Roman" w:cs="Times New Roman"/>
                <w:lang w:val="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визначеним НКЦПФР) на адресу електронної пошти -  </w:t>
            </w:r>
            <w:hyperlink r:id="rId9" w:history="1">
              <w:hyperlink r:id="rId10" w:history="1">
                <w:r w:rsidRPr="00217020">
                  <w:rPr>
                    <w:rStyle w:val="a5"/>
                    <w:rFonts w:ascii="Times New Roman" w:hAnsi="Times New Roman" w:cs="Times New Roman"/>
                    <w:lang w:val="uk-UA"/>
                  </w:rPr>
                  <w:t>Olena.</w:t>
                </w:r>
                <w:r w:rsidRPr="00217020">
                  <w:rPr>
                    <w:rStyle w:val="a5"/>
                    <w:rFonts w:ascii="Times New Roman" w:hAnsi="Times New Roman" w:cs="Times New Roman"/>
                    <w:lang w:val="en-US"/>
                  </w:rPr>
                  <w:t>Timchenko</w:t>
                </w:r>
                <w:r w:rsidRPr="00217020">
                  <w:rPr>
                    <w:rStyle w:val="a5"/>
                    <w:rFonts w:ascii="Times New Roman" w:hAnsi="Times New Roman" w:cs="Times New Roman"/>
                    <w:lang w:val="uk-UA"/>
                  </w:rPr>
                  <w:t>@creditwest.ua</w:t>
                </w:r>
              </w:hyperlink>
            </w:hyperlink>
            <w:r w:rsidRPr="00217020">
              <w:rPr>
                <w:rFonts w:ascii="Times New Roman" w:hAnsi="Times New Roman" w:cs="Times New Roman"/>
                <w:lang w:val="uk-UA"/>
              </w:rPr>
              <w:t>.</w:t>
            </w:r>
          </w:p>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lang w:val="uk-UA"/>
              </w:rPr>
              <w:t xml:space="preserve">Кожен акціонер - власник голосуючих акцій має право реалізувати своє право на управління Банком шляхом участі у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Банку на дату складення переліку акціонерів, які мають право на участь у Зборах. </w:t>
            </w:r>
          </w:p>
          <w:p w:rsidR="00BF3626" w:rsidRPr="00217020" w:rsidRDefault="00BF3626" w:rsidP="003536BF">
            <w:pPr>
              <w:spacing w:after="0" w:line="240" w:lineRule="auto"/>
              <w:jc w:val="both"/>
              <w:rPr>
                <w:rFonts w:ascii="Times New Roman" w:hAnsi="Times New Roman" w:cs="Times New Roman"/>
                <w:b/>
                <w:lang w:val="uk-UA"/>
              </w:rPr>
            </w:pPr>
            <w:r w:rsidRPr="00217020">
              <w:rPr>
                <w:rFonts w:ascii="Times New Roman" w:hAnsi="Times New Roman" w:cs="Times New Roman"/>
                <w:b/>
                <w:lang w:val="uk-UA"/>
              </w:rPr>
              <w:t>Бюлетені для голосування на Зборах приймаються виключно до 18-00 дати завершення голосування (2</w:t>
            </w:r>
            <w:r w:rsidRPr="00217020">
              <w:rPr>
                <w:rFonts w:ascii="Times New Roman" w:hAnsi="Times New Roman" w:cs="Times New Roman"/>
                <w:b/>
              </w:rPr>
              <w:t>7</w:t>
            </w:r>
            <w:r w:rsidRPr="00217020">
              <w:rPr>
                <w:rFonts w:ascii="Times New Roman" w:hAnsi="Times New Roman" w:cs="Times New Roman"/>
                <w:b/>
                <w:lang w:val="uk-UA"/>
              </w:rPr>
              <w:t xml:space="preserve"> квітня 2023 року). </w:t>
            </w:r>
          </w:p>
          <w:p w:rsidR="00BF3626" w:rsidRPr="00217020" w:rsidRDefault="00BF3626" w:rsidP="003536BF">
            <w:pPr>
              <w:spacing w:after="0" w:line="240" w:lineRule="auto"/>
              <w:ind w:firstLine="318"/>
              <w:jc w:val="both"/>
              <w:rPr>
                <w:rFonts w:ascii="Times New Roman" w:hAnsi="Times New Roman" w:cs="Times New Roman"/>
              </w:rPr>
            </w:pPr>
          </w:p>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lang w:val="uk-UA"/>
              </w:rPr>
              <w:t xml:space="preserve">Голосування на Зборах з питань порядку денного проводиться виключно з використанням бюлетеню для голосування (щодо інших питань порядку денного, крім обрання органів управління Банку) та бюлетеню для кумулятивного голосування. 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бюлетень для голосування на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rsidR="00BF3626" w:rsidRPr="00217020" w:rsidRDefault="00BF3626" w:rsidP="003536BF">
            <w:pPr>
              <w:spacing w:after="0" w:line="240" w:lineRule="auto"/>
              <w:ind w:firstLine="318"/>
              <w:jc w:val="both"/>
              <w:rPr>
                <w:rFonts w:ascii="Times New Roman" w:hAnsi="Times New Roman" w:cs="Times New Roman"/>
                <w:lang w:val="uk-UA"/>
              </w:rPr>
            </w:pPr>
            <w:r w:rsidRPr="00217020">
              <w:rPr>
                <w:rFonts w:ascii="Times New Roman" w:hAnsi="Times New Roman" w:cs="Times New Roman"/>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lastRenderedPageBreak/>
              <w:t xml:space="preserve">Акціонер має право призначити свого представника постійно або на певний строк.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Банк та депозитарну установу, яка обслуговує рахунок в цінних паперах такого акціонера, на якому обліковуються належні акціонеру акції АТ «КРЕДИТВЕСТ БАНК»,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lang w:val="uk-UA"/>
              </w:rPr>
              <w:t xml:space="preserve">     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w:t>
            </w:r>
            <w:proofErr w:type="spellStart"/>
            <w:r w:rsidRPr="00217020">
              <w:rPr>
                <w:rFonts w:ascii="Times New Roman" w:hAnsi="Times New Roman" w:cs="Times New Roman"/>
                <w:lang w:val="uk-UA"/>
              </w:rPr>
              <w:t>вебсайті</w:t>
            </w:r>
            <w:proofErr w:type="spellEnd"/>
            <w:r w:rsidRPr="00217020">
              <w:rPr>
                <w:rFonts w:ascii="Times New Roman" w:hAnsi="Times New Roman" w:cs="Times New Roman"/>
                <w:lang w:val="uk-UA"/>
              </w:rPr>
              <w:t xml:space="preserve"> Банку відповідного бюлетеня для голосування). Датою закінчення голосування акціонерів є дата проведення Зборів. </w:t>
            </w:r>
          </w:p>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lang w:val="uk-UA"/>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Банку, лише один бюлетень для голосування з одних і тих самих питань порядку денного. 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r>
              <w:rPr>
                <w:rFonts w:ascii="Times New Roman" w:hAnsi="Times New Roman" w:cs="Times New Roman"/>
                <w:lang w:val="uk-UA"/>
              </w:rPr>
              <w:t>)</w:t>
            </w:r>
            <w:r w:rsidRPr="00217020">
              <w:rPr>
                <w:rFonts w:ascii="Times New Roman" w:hAnsi="Times New Roman" w:cs="Times New Roman"/>
                <w:lang w:val="uk-UA"/>
              </w:rPr>
              <w:t xml:space="preserve">).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Банку. </w:t>
            </w:r>
          </w:p>
          <w:p w:rsidR="00BF3626" w:rsidRPr="00217020" w:rsidRDefault="00BF3626" w:rsidP="003536BF">
            <w:pPr>
              <w:spacing w:before="240" w:after="0" w:line="240" w:lineRule="auto"/>
              <w:jc w:val="both"/>
              <w:rPr>
                <w:rFonts w:ascii="Times New Roman" w:hAnsi="Times New Roman" w:cs="Times New Roman"/>
                <w:lang w:val="uk-UA"/>
              </w:rPr>
            </w:pPr>
            <w:r w:rsidRPr="00217020">
              <w:rPr>
                <w:rFonts w:ascii="Times New Roman" w:hAnsi="Times New Roman" w:cs="Times New Roman"/>
                <w:lang w:val="uk-UA"/>
              </w:rPr>
              <w:t xml:space="preserve">Бюлетень для голосування на Загальних зборах засвідчується одним з наступних способів за вибором акціонера: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1) за допомогою кваліфікованого електронного підпису акціонера (його представника);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2) нотаріально, за умови підписання бюлетеня в присутності нотаріуса або посадової особи, яка вчиняє нотаріальні дії; </w:t>
            </w:r>
          </w:p>
          <w:p w:rsidR="00BF3626" w:rsidRPr="00217020" w:rsidRDefault="00BF3626" w:rsidP="003536BF">
            <w:pPr>
              <w:spacing w:after="0" w:line="240" w:lineRule="auto"/>
              <w:ind w:firstLine="459"/>
              <w:jc w:val="both"/>
              <w:rPr>
                <w:rFonts w:ascii="Times New Roman" w:hAnsi="Times New Roman" w:cs="Times New Roman"/>
                <w:lang w:val="uk-UA"/>
              </w:rPr>
            </w:pPr>
            <w:r w:rsidRPr="00217020">
              <w:rPr>
                <w:rFonts w:ascii="Times New Roman" w:hAnsi="Times New Roman" w:cs="Times New Roman"/>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Банку, за умови підписання бюлетеня в присутності уповноваженої особи депозитарної установи. </w:t>
            </w:r>
          </w:p>
          <w:p w:rsidR="00BF3626" w:rsidRPr="00217020" w:rsidRDefault="00BF3626" w:rsidP="003536BF">
            <w:pPr>
              <w:spacing w:after="0" w:line="240" w:lineRule="auto"/>
              <w:jc w:val="both"/>
              <w:rPr>
                <w:rFonts w:ascii="Times New Roman" w:hAnsi="Times New Roman" w:cs="Times New Roman"/>
                <w:lang w:val="uk-UA"/>
              </w:rPr>
            </w:pPr>
            <w:r w:rsidRPr="00217020">
              <w:rPr>
                <w:rFonts w:ascii="Times New Roman" w:hAnsi="Times New Roman" w:cs="Times New Roman"/>
              </w:rPr>
              <w:t xml:space="preserve">   </w:t>
            </w:r>
            <w:r w:rsidRPr="00217020">
              <w:rPr>
                <w:rFonts w:ascii="Times New Roman" w:hAnsi="Times New Roman" w:cs="Times New Roman"/>
                <w:lang w:val="uk-UA"/>
              </w:rPr>
              <w:t>Банк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BF3626" w:rsidRPr="00217020" w:rsidRDefault="00BF3626" w:rsidP="003536BF">
            <w:pPr>
              <w:spacing w:after="0" w:line="240" w:lineRule="auto"/>
              <w:ind w:firstLine="459"/>
              <w:jc w:val="both"/>
              <w:rPr>
                <w:rFonts w:ascii="Times New Roman" w:hAnsi="Times New Roman" w:cs="Times New Roman"/>
                <w:lang w:val="uk-UA"/>
              </w:rPr>
            </w:pPr>
          </w:p>
          <w:p w:rsidR="00BF3626" w:rsidRPr="00217020" w:rsidRDefault="00BF3626" w:rsidP="003536BF">
            <w:pPr>
              <w:spacing w:after="0" w:line="240" w:lineRule="auto"/>
              <w:ind w:firstLine="459"/>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650682" w:rsidRDefault="00650682" w:rsidP="003536BF">
            <w:pPr>
              <w:spacing w:after="0" w:line="240" w:lineRule="auto"/>
              <w:jc w:val="center"/>
              <w:rPr>
                <w:rFonts w:ascii="Times New Roman" w:hAnsi="Times New Roman" w:cs="Times New Roman"/>
                <w:b/>
                <w:lang w:val="uk-UA"/>
              </w:rPr>
            </w:pPr>
          </w:p>
          <w:p w:rsidR="00BF3626" w:rsidRPr="00217020" w:rsidRDefault="00BF3626" w:rsidP="003536BF">
            <w:pPr>
              <w:spacing w:after="0" w:line="240" w:lineRule="auto"/>
              <w:jc w:val="center"/>
              <w:rPr>
                <w:rFonts w:ascii="Times New Roman" w:hAnsi="Times New Roman" w:cs="Times New Roman"/>
                <w:b/>
                <w:lang w:val="uk-UA"/>
              </w:rPr>
            </w:pPr>
            <w:r w:rsidRPr="00217020">
              <w:rPr>
                <w:rFonts w:ascii="Times New Roman" w:hAnsi="Times New Roman" w:cs="Times New Roman"/>
                <w:b/>
                <w:lang w:val="uk-UA"/>
              </w:rPr>
              <w:lastRenderedPageBreak/>
              <w:t xml:space="preserve">Основні показники фінансово-господарської діяльності  АТ «КРЕДИТВЕСТ БАНК» </w:t>
            </w:r>
          </w:p>
          <w:p w:rsidR="00BF3626" w:rsidRPr="00217020" w:rsidRDefault="00BF3626" w:rsidP="003536BF">
            <w:pPr>
              <w:spacing w:after="0" w:line="240" w:lineRule="auto"/>
              <w:jc w:val="center"/>
              <w:rPr>
                <w:rFonts w:ascii="Times New Roman" w:hAnsi="Times New Roman" w:cs="Times New Roman"/>
                <w:b/>
                <w:lang w:val="uk-UA"/>
              </w:rPr>
            </w:pPr>
            <w:r w:rsidRPr="00217020">
              <w:rPr>
                <w:rFonts w:ascii="Times New Roman" w:hAnsi="Times New Roman" w:cs="Times New Roman"/>
                <w:b/>
                <w:lang w:val="uk-UA"/>
              </w:rPr>
              <w:t>(тис. грн.)</w:t>
            </w:r>
          </w:p>
          <w:p w:rsidR="00BF3626" w:rsidRPr="00217020" w:rsidRDefault="00BF3626" w:rsidP="003536BF">
            <w:pPr>
              <w:spacing w:after="0" w:line="240" w:lineRule="auto"/>
              <w:jc w:val="center"/>
              <w:rPr>
                <w:rFonts w:ascii="Times New Roman" w:hAnsi="Times New Roman" w:cs="Times New Roman"/>
                <w:b/>
                <w:lang w:val="uk-UA"/>
              </w:rPr>
            </w:pPr>
          </w:p>
          <w:tbl>
            <w:tblPr>
              <w:tblW w:w="5000" w:type="pct"/>
              <w:tblCellMar>
                <w:left w:w="0" w:type="dxa"/>
                <w:right w:w="0" w:type="dxa"/>
              </w:tblCellMar>
              <w:tblLook w:val="04A0" w:firstRow="1" w:lastRow="0" w:firstColumn="1" w:lastColumn="0" w:noHBand="0" w:noVBand="1"/>
            </w:tblPr>
            <w:tblGrid>
              <w:gridCol w:w="4416"/>
              <w:gridCol w:w="2475"/>
              <w:gridCol w:w="2512"/>
            </w:tblGrid>
            <w:tr w:rsidR="00BF3626" w:rsidRPr="00217020" w:rsidTr="003536BF">
              <w:trPr>
                <w:trHeight w:val="44"/>
              </w:trPr>
              <w:tc>
                <w:tcPr>
                  <w:tcW w:w="2348"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jc w:val="center"/>
                    <w:rPr>
                      <w:rFonts w:ascii="Times New Roman" w:hAnsi="Times New Roman" w:cs="Times New Roman"/>
                    </w:rPr>
                  </w:pPr>
                  <w:bookmarkStart w:id="1" w:name="n2118"/>
                  <w:bookmarkEnd w:id="1"/>
                  <w:proofErr w:type="spellStart"/>
                  <w:r w:rsidRPr="00217020">
                    <w:rPr>
                      <w:rFonts w:ascii="Times New Roman" w:hAnsi="Times New Roman" w:cs="Times New Roman"/>
                    </w:rPr>
                    <w:t>Найменування</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показника</w:t>
                  </w:r>
                  <w:proofErr w:type="spellEnd"/>
                </w:p>
              </w:tc>
              <w:tc>
                <w:tcPr>
                  <w:tcW w:w="2652"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jc w:val="center"/>
                    <w:rPr>
                      <w:rFonts w:ascii="Times New Roman" w:hAnsi="Times New Roman" w:cs="Times New Roman"/>
                    </w:rPr>
                  </w:pPr>
                  <w:proofErr w:type="spellStart"/>
                  <w:r w:rsidRPr="00217020">
                    <w:rPr>
                      <w:rFonts w:ascii="Times New Roman" w:hAnsi="Times New Roman" w:cs="Times New Roman"/>
                    </w:rPr>
                    <w:t>Період</w:t>
                  </w:r>
                  <w:proofErr w:type="spellEnd"/>
                </w:p>
              </w:tc>
            </w:tr>
            <w:tr w:rsidR="00BF3626" w:rsidRPr="00217020" w:rsidTr="003536BF">
              <w:trPr>
                <w:trHeight w:val="397"/>
              </w:trPr>
              <w:tc>
                <w:tcPr>
                  <w:tcW w:w="2348" w:type="pct"/>
                  <w:vMerge/>
                  <w:tcBorders>
                    <w:top w:val="single" w:sz="8" w:space="0" w:color="000000"/>
                    <w:left w:val="single" w:sz="8" w:space="0" w:color="000000"/>
                    <w:bottom w:val="single" w:sz="8" w:space="0" w:color="000000"/>
                    <w:right w:val="single" w:sz="8" w:space="0" w:color="000000"/>
                  </w:tcBorders>
                  <w:vAlign w:val="center"/>
                  <w:hideMark/>
                </w:tcPr>
                <w:p w:rsidR="00BF3626" w:rsidRPr="00217020" w:rsidRDefault="00BF3626" w:rsidP="003536BF">
                  <w:pPr>
                    <w:rPr>
                      <w:rFonts w:ascii="Times New Roman" w:eastAsiaTheme="minorHAnsi" w:hAnsi="Times New Roman" w:cs="Times New Roman"/>
                    </w:rPr>
                  </w:pPr>
                </w:p>
              </w:tc>
              <w:tc>
                <w:tcPr>
                  <w:tcW w:w="1316" w:type="pct"/>
                  <w:tcBorders>
                    <w:top w:val="nil"/>
                    <w:left w:val="nil"/>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jc w:val="center"/>
                    <w:rPr>
                      <w:rFonts w:ascii="Times New Roman" w:hAnsi="Times New Roman" w:cs="Times New Roman"/>
                      <w:lang w:val="uk-UA"/>
                    </w:rPr>
                  </w:pPr>
                  <w:proofErr w:type="spellStart"/>
                  <w:r w:rsidRPr="00217020">
                    <w:rPr>
                      <w:rFonts w:ascii="Times New Roman" w:hAnsi="Times New Roman" w:cs="Times New Roman"/>
                    </w:rPr>
                    <w:t>Звітний</w:t>
                  </w:r>
                  <w:proofErr w:type="spellEnd"/>
                  <w:r w:rsidRPr="00217020">
                    <w:rPr>
                      <w:rFonts w:ascii="Times New Roman" w:hAnsi="Times New Roman" w:cs="Times New Roman"/>
                    </w:rPr>
                    <w:t xml:space="preserve"> 202</w:t>
                  </w:r>
                  <w:r w:rsidRPr="00217020">
                    <w:rPr>
                      <w:rFonts w:ascii="Times New Roman" w:hAnsi="Times New Roman" w:cs="Times New Roman"/>
                      <w:lang w:val="uk-UA"/>
                    </w:rPr>
                    <w:t>2</w:t>
                  </w:r>
                </w:p>
              </w:tc>
              <w:tc>
                <w:tcPr>
                  <w:tcW w:w="1336" w:type="pct"/>
                  <w:tcBorders>
                    <w:top w:val="nil"/>
                    <w:left w:val="nil"/>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jc w:val="center"/>
                    <w:rPr>
                      <w:rFonts w:ascii="Times New Roman" w:hAnsi="Times New Roman" w:cs="Times New Roman"/>
                    </w:rPr>
                  </w:pPr>
                  <w:proofErr w:type="spellStart"/>
                  <w:r w:rsidRPr="00217020">
                    <w:rPr>
                      <w:rFonts w:ascii="Times New Roman" w:hAnsi="Times New Roman" w:cs="Times New Roman"/>
                    </w:rPr>
                    <w:t>Попередній</w:t>
                  </w:r>
                  <w:proofErr w:type="spellEnd"/>
                  <w:r w:rsidRPr="00217020">
                    <w:rPr>
                      <w:rFonts w:ascii="Times New Roman" w:hAnsi="Times New Roman" w:cs="Times New Roman"/>
                    </w:rPr>
                    <w:t xml:space="preserve"> 202</w:t>
                  </w:r>
                  <w:r w:rsidRPr="00217020">
                    <w:rPr>
                      <w:rFonts w:ascii="Times New Roman" w:hAnsi="Times New Roman" w:cs="Times New Roman"/>
                      <w:lang w:val="uk-UA"/>
                    </w:rPr>
                    <w:t>1</w:t>
                  </w:r>
                </w:p>
              </w:tc>
            </w:tr>
            <w:tr w:rsidR="00BF3626" w:rsidRPr="00217020" w:rsidTr="003536BF">
              <w:trPr>
                <w:trHeight w:val="365"/>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jc w:val="both"/>
                    <w:rPr>
                      <w:rFonts w:ascii="Times New Roman" w:hAnsi="Times New Roman" w:cs="Times New Roman"/>
                    </w:rPr>
                  </w:pPr>
                  <w:proofErr w:type="spellStart"/>
                  <w:r w:rsidRPr="00217020">
                    <w:rPr>
                      <w:rFonts w:ascii="Times New Roman" w:hAnsi="Times New Roman" w:cs="Times New Roman"/>
                    </w:rPr>
                    <w:t>Усього</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активів</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2 231 054</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2 291 374</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jc w:val="both"/>
                    <w:rPr>
                      <w:rFonts w:ascii="Times New Roman" w:hAnsi="Times New Roman" w:cs="Times New Roman"/>
                    </w:rPr>
                  </w:pPr>
                  <w:proofErr w:type="spellStart"/>
                  <w:r w:rsidRPr="00217020">
                    <w:rPr>
                      <w:rFonts w:ascii="Times New Roman" w:hAnsi="Times New Roman" w:cs="Times New Roman"/>
                    </w:rPr>
                    <w:t>Основні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засоби</w:t>
                  </w:r>
                  <w:proofErr w:type="spellEnd"/>
                  <w:r w:rsidRPr="00217020">
                    <w:rPr>
                      <w:rFonts w:ascii="Times New Roman" w:hAnsi="Times New Roman" w:cs="Times New Roman"/>
                    </w:rPr>
                    <w:t xml:space="preserve"> (за </w:t>
                  </w:r>
                  <w:proofErr w:type="spellStart"/>
                  <w:r w:rsidRPr="00217020">
                    <w:rPr>
                      <w:rFonts w:ascii="Times New Roman" w:hAnsi="Times New Roman" w:cs="Times New Roman"/>
                    </w:rPr>
                    <w:t>залишковою</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вартістю</w:t>
                  </w:r>
                  <w:proofErr w:type="spellEnd"/>
                  <w:r w:rsidRPr="00217020">
                    <w:rPr>
                      <w:rFonts w:ascii="Times New Roman" w:hAnsi="Times New Roman" w:cs="Times New Roman"/>
                    </w:rPr>
                    <w:t>)</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3 831</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4 751</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jc w:val="both"/>
                    <w:rPr>
                      <w:rFonts w:ascii="Times New Roman" w:hAnsi="Times New Roman" w:cs="Times New Roman"/>
                    </w:rPr>
                  </w:pPr>
                  <w:r w:rsidRPr="00217020">
                    <w:rPr>
                      <w:rFonts w:ascii="Times New Roman" w:hAnsi="Times New Roman" w:cs="Times New Roman"/>
                    </w:rPr>
                    <w:t>Запаси</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78</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val="en-US"/>
                    </w:rPr>
                  </w:pPr>
                  <w:r w:rsidRPr="00217020">
                    <w:rPr>
                      <w:rFonts w:ascii="Times New Roman" w:hAnsi="Times New Roman"/>
                      <w:color w:val="000000"/>
                      <w:sz w:val="20"/>
                      <w:szCs w:val="20"/>
                      <w:lang w:eastAsia="ru-RU"/>
                    </w:rPr>
                    <w:t>3</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lang w:val="uk-UA"/>
                    </w:rPr>
                  </w:pPr>
                  <w:proofErr w:type="spellStart"/>
                  <w:r w:rsidRPr="00217020">
                    <w:rPr>
                      <w:rFonts w:ascii="Times New Roman" w:hAnsi="Times New Roman" w:cs="Times New Roman"/>
                    </w:rPr>
                    <w:t>Сумарна</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дебіторська</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заборгованість</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lang w:val="en-US"/>
                    </w:rPr>
                  </w:pPr>
                  <w:r w:rsidRPr="00217020">
                    <w:rPr>
                      <w:rFonts w:ascii="Times New Roman" w:hAnsi="Times New Roman"/>
                      <w:color w:val="000000"/>
                      <w:sz w:val="20"/>
                      <w:szCs w:val="20"/>
                      <w:lang w:eastAsia="ru-RU"/>
                    </w:rPr>
                    <w:t>3 567</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val="en-US"/>
                    </w:rPr>
                  </w:pPr>
                  <w:r w:rsidRPr="00217020">
                    <w:rPr>
                      <w:rFonts w:ascii="Times New Roman" w:hAnsi="Times New Roman"/>
                      <w:color w:val="000000"/>
                      <w:sz w:val="20"/>
                      <w:szCs w:val="20"/>
                      <w:lang w:eastAsia="ru-RU"/>
                    </w:rPr>
                    <w:t>579</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lang w:val="uk-UA"/>
                    </w:rPr>
                  </w:pPr>
                  <w:proofErr w:type="spellStart"/>
                  <w:r w:rsidRPr="00217020">
                    <w:rPr>
                      <w:rFonts w:ascii="Times New Roman" w:hAnsi="Times New Roman" w:cs="Times New Roman"/>
                    </w:rPr>
                    <w:t>Гроші</w:t>
                  </w:r>
                  <w:proofErr w:type="spellEnd"/>
                  <w:r w:rsidRPr="00217020">
                    <w:rPr>
                      <w:rFonts w:ascii="Times New Roman" w:hAnsi="Times New Roman" w:cs="Times New Roman"/>
                    </w:rPr>
                    <w:t xml:space="preserve"> та </w:t>
                  </w:r>
                  <w:proofErr w:type="spellStart"/>
                  <w:r w:rsidRPr="00217020">
                    <w:rPr>
                      <w:rFonts w:ascii="Times New Roman" w:hAnsi="Times New Roman" w:cs="Times New Roman"/>
                    </w:rPr>
                    <w:t>їх</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еквіваленти</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334 560</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232 528</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Нерозподілений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прибуток</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непокритий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збиток</w:t>
                  </w:r>
                  <w:proofErr w:type="spellEnd"/>
                  <w:r w:rsidRPr="00217020">
                    <w:rPr>
                      <w:rFonts w:ascii="Times New Roman" w:hAnsi="Times New Roman" w:cs="Times New Roman"/>
                    </w:rPr>
                    <w:t>)</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35 946</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41 662</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Власний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капітал</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453 447</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458 597</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Зареєстрований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пайовий</w:t>
                  </w:r>
                  <w:proofErr w:type="spellEnd"/>
                  <w:r w:rsidRPr="00217020">
                    <w:rPr>
                      <w:rFonts w:ascii="Times New Roman" w:hAnsi="Times New Roman" w:cs="Times New Roman"/>
                    </w:rPr>
                    <w:t>/</w:t>
                  </w:r>
                  <w:proofErr w:type="spellStart"/>
                  <w:r w:rsidRPr="00217020">
                    <w:rPr>
                      <w:rFonts w:ascii="Times New Roman" w:hAnsi="Times New Roman" w:cs="Times New Roman"/>
                    </w:rPr>
                    <w:t>статутний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капітал</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364 410</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val="en-US" w:eastAsia="ru-RU"/>
                    </w:rPr>
                  </w:pPr>
                  <w:r w:rsidRPr="00217020">
                    <w:rPr>
                      <w:rFonts w:ascii="Times New Roman" w:hAnsi="Times New Roman"/>
                      <w:color w:val="000000"/>
                      <w:sz w:val="20"/>
                      <w:szCs w:val="20"/>
                      <w:lang w:eastAsia="ru-RU"/>
                    </w:rPr>
                    <w:t>364 410</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lang w:val="uk-UA"/>
                    </w:rPr>
                  </w:pPr>
                  <w:proofErr w:type="spellStart"/>
                  <w:r w:rsidRPr="00217020">
                    <w:rPr>
                      <w:rFonts w:ascii="Times New Roman" w:hAnsi="Times New Roman" w:cs="Times New Roman"/>
                    </w:rPr>
                    <w:t>Довгострокові</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зобов’язання</w:t>
                  </w:r>
                  <w:proofErr w:type="spellEnd"/>
                  <w:r w:rsidRPr="00217020">
                    <w:rPr>
                      <w:rFonts w:ascii="Times New Roman" w:hAnsi="Times New Roman" w:cs="Times New Roman"/>
                    </w:rPr>
                    <w:t xml:space="preserve"> і </w:t>
                  </w:r>
                  <w:proofErr w:type="spellStart"/>
                  <w:r w:rsidRPr="00217020">
                    <w:rPr>
                      <w:rFonts w:ascii="Times New Roman" w:hAnsi="Times New Roman" w:cs="Times New Roman"/>
                    </w:rPr>
                    <w:t>забезпечення</w:t>
                  </w:r>
                  <w:proofErr w:type="spellEnd"/>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                   (3 520)</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11 321</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Чистий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фінансовий</w:t>
                  </w:r>
                  <w:proofErr w:type="spellEnd"/>
                  <w:r w:rsidRPr="00217020">
                    <w:rPr>
                      <w:rFonts w:ascii="Times New Roman" w:hAnsi="Times New Roman" w:cs="Times New Roman"/>
                    </w:rPr>
                    <w:t xml:space="preserve"> результат: </w:t>
                  </w:r>
                  <w:proofErr w:type="spellStart"/>
                  <w:r w:rsidRPr="00217020">
                    <w:rPr>
                      <w:rFonts w:ascii="Times New Roman" w:hAnsi="Times New Roman" w:cs="Times New Roman"/>
                    </w:rPr>
                    <w:t>прибуток</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збиток</w:t>
                  </w:r>
                  <w:proofErr w:type="spellEnd"/>
                  <w:r w:rsidRPr="00217020">
                    <w:rPr>
                      <w:rFonts w:ascii="Times New Roman" w:hAnsi="Times New Roman" w:cs="Times New Roman"/>
                    </w:rPr>
                    <w:t>)</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149 962 764</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lang w:eastAsia="ru-RU"/>
                    </w:rPr>
                  </w:pPr>
                  <w:r w:rsidRPr="00217020">
                    <w:rPr>
                      <w:rFonts w:ascii="Times New Roman" w:hAnsi="Times New Roman"/>
                      <w:color w:val="000000"/>
                      <w:sz w:val="20"/>
                      <w:szCs w:val="20"/>
                      <w:lang w:eastAsia="ru-RU"/>
                    </w:rPr>
                    <w:t>149 962 764</w:t>
                  </w:r>
                </w:p>
              </w:tc>
            </w:tr>
            <w:tr w:rsidR="00BF3626" w:rsidRPr="00217020" w:rsidTr="003536BF">
              <w:trPr>
                <w:trHeight w:val="44"/>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Середньорічна</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кількість</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акцій</w:t>
                  </w:r>
                  <w:proofErr w:type="spellEnd"/>
                  <w:r w:rsidRPr="00217020">
                    <w:rPr>
                      <w:rFonts w:ascii="Times New Roman" w:hAnsi="Times New Roman" w:cs="Times New Roman"/>
                    </w:rPr>
                    <w:t xml:space="preserve"> (шт.)</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                     (0,02)</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0,08</w:t>
                  </w:r>
                </w:p>
              </w:tc>
            </w:tr>
            <w:tr w:rsidR="00BF3626" w:rsidRPr="00217020" w:rsidTr="003536BF">
              <w:trPr>
                <w:trHeight w:val="68"/>
              </w:trPr>
              <w:tc>
                <w:tcPr>
                  <w:tcW w:w="2348"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F3626" w:rsidRPr="00217020" w:rsidRDefault="00BF3626" w:rsidP="003536BF">
                  <w:pPr>
                    <w:spacing w:after="0" w:line="240" w:lineRule="auto"/>
                    <w:rPr>
                      <w:rFonts w:ascii="Times New Roman" w:hAnsi="Times New Roman" w:cs="Times New Roman"/>
                    </w:rPr>
                  </w:pPr>
                  <w:proofErr w:type="spellStart"/>
                  <w:r w:rsidRPr="00217020">
                    <w:rPr>
                      <w:rFonts w:ascii="Times New Roman" w:hAnsi="Times New Roman" w:cs="Times New Roman"/>
                    </w:rPr>
                    <w:t>Чистий</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прибуток</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збиток</w:t>
                  </w:r>
                  <w:proofErr w:type="spellEnd"/>
                  <w:r w:rsidRPr="00217020">
                    <w:rPr>
                      <w:rFonts w:ascii="Times New Roman" w:hAnsi="Times New Roman" w:cs="Times New Roman"/>
                    </w:rPr>
                    <w:t xml:space="preserve">) на одну </w:t>
                  </w:r>
                  <w:proofErr w:type="spellStart"/>
                  <w:r w:rsidRPr="00217020">
                    <w:rPr>
                      <w:rFonts w:ascii="Times New Roman" w:hAnsi="Times New Roman" w:cs="Times New Roman"/>
                    </w:rPr>
                    <w:t>просту</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акцію</w:t>
                  </w:r>
                  <w:proofErr w:type="spellEnd"/>
                  <w:r w:rsidRPr="00217020">
                    <w:rPr>
                      <w:rFonts w:ascii="Times New Roman" w:hAnsi="Times New Roman" w:cs="Times New Roman"/>
                    </w:rPr>
                    <w:t xml:space="preserve"> (</w:t>
                  </w:r>
                  <w:proofErr w:type="spellStart"/>
                  <w:r w:rsidRPr="00217020">
                    <w:rPr>
                      <w:rFonts w:ascii="Times New Roman" w:hAnsi="Times New Roman" w:cs="Times New Roman"/>
                    </w:rPr>
                    <w:t>грн</w:t>
                  </w:r>
                  <w:proofErr w:type="spellEnd"/>
                  <w:r w:rsidRPr="00217020">
                    <w:rPr>
                      <w:rFonts w:ascii="Times New Roman" w:hAnsi="Times New Roman" w:cs="Times New Roman"/>
                    </w:rPr>
                    <w:t>)</w:t>
                  </w:r>
                </w:p>
              </w:tc>
              <w:tc>
                <w:tcPr>
                  <w:tcW w:w="1316" w:type="pct"/>
                  <w:tcBorders>
                    <w:top w:val="nil"/>
                    <w:left w:val="nil"/>
                    <w:bottom w:val="single" w:sz="8" w:space="0" w:color="auto"/>
                    <w:right w:val="single" w:sz="8" w:space="0" w:color="auto"/>
                  </w:tcBorders>
                  <w:tcMar>
                    <w:top w:w="15" w:type="dxa"/>
                    <w:left w:w="15" w:type="dxa"/>
                    <w:bottom w:w="15" w:type="dxa"/>
                    <w:right w:w="15" w:type="dxa"/>
                  </w:tcMar>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2 231 054</w:t>
                  </w:r>
                </w:p>
              </w:tc>
              <w:tc>
                <w:tcPr>
                  <w:tcW w:w="1336" w:type="pct"/>
                  <w:tcBorders>
                    <w:top w:val="nil"/>
                    <w:left w:val="nil"/>
                    <w:bottom w:val="single" w:sz="8" w:space="0" w:color="auto"/>
                    <w:right w:val="single" w:sz="8" w:space="0" w:color="auto"/>
                  </w:tcBorders>
                  <w:tcMar>
                    <w:top w:w="15" w:type="dxa"/>
                    <w:left w:w="15" w:type="dxa"/>
                    <w:bottom w:w="15" w:type="dxa"/>
                    <w:right w:w="15" w:type="dxa"/>
                  </w:tcMar>
                  <w:hideMark/>
                </w:tcPr>
                <w:p w:rsidR="00BF3626" w:rsidRPr="00217020" w:rsidRDefault="00BF3626" w:rsidP="003536BF">
                  <w:pPr>
                    <w:spacing w:after="0" w:line="240" w:lineRule="auto"/>
                    <w:jc w:val="center"/>
                    <w:rPr>
                      <w:rFonts w:ascii="Times New Roman" w:hAnsi="Times New Roman" w:cs="Times New Roman"/>
                    </w:rPr>
                  </w:pPr>
                  <w:r w:rsidRPr="00217020">
                    <w:rPr>
                      <w:rFonts w:ascii="Times New Roman" w:hAnsi="Times New Roman"/>
                      <w:color w:val="000000"/>
                      <w:sz w:val="20"/>
                      <w:szCs w:val="20"/>
                      <w:lang w:eastAsia="ru-RU"/>
                    </w:rPr>
                    <w:t>2 291 374</w:t>
                  </w:r>
                </w:p>
              </w:tc>
            </w:tr>
          </w:tbl>
          <w:p w:rsidR="00BF3626" w:rsidRPr="00217020" w:rsidRDefault="00BF3626" w:rsidP="003536BF">
            <w:pPr>
              <w:jc w:val="both"/>
              <w:rPr>
                <w:rFonts w:ascii="Times New Roman" w:eastAsiaTheme="minorHAnsi" w:hAnsi="Times New Roman" w:cs="Times New Roman"/>
              </w:rPr>
            </w:pPr>
          </w:p>
          <w:p w:rsidR="00BF3626" w:rsidRPr="00217020" w:rsidRDefault="00BF3626" w:rsidP="003536BF">
            <w:pPr>
              <w:spacing w:after="0" w:line="240" w:lineRule="auto"/>
              <w:jc w:val="both"/>
              <w:rPr>
                <w:rFonts w:ascii="Times New Roman" w:hAnsi="Times New Roman" w:cs="Times New Roman"/>
                <w:bCs/>
                <w:lang w:val="uk-UA"/>
              </w:rPr>
            </w:pPr>
            <w:bookmarkStart w:id="2" w:name="n2119"/>
            <w:bookmarkEnd w:id="2"/>
          </w:p>
          <w:p w:rsidR="00BF3626" w:rsidRPr="00217020" w:rsidRDefault="00BF3626" w:rsidP="003536BF">
            <w:pPr>
              <w:spacing w:after="0" w:line="240" w:lineRule="auto"/>
              <w:contextualSpacing/>
              <w:jc w:val="both"/>
              <w:rPr>
                <w:rFonts w:ascii="Times New Roman" w:hAnsi="Times New Roman" w:cs="Times New Roman"/>
                <w:lang w:val="uk-UA"/>
              </w:rPr>
            </w:pPr>
          </w:p>
        </w:tc>
      </w:tr>
    </w:tbl>
    <w:p w:rsidR="00967DBB" w:rsidRDefault="002A3DB4"/>
    <w:sectPr w:rsidR="00967D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8AC"/>
    <w:multiLevelType w:val="multilevel"/>
    <w:tmpl w:val="C634472A"/>
    <w:lvl w:ilvl="0">
      <w:start w:val="3"/>
      <w:numFmt w:val="decimal"/>
      <w:lvlText w:val="%1."/>
      <w:lvlJc w:val="left"/>
      <w:pPr>
        <w:ind w:left="360" w:hanging="360"/>
      </w:pPr>
      <w:rPr>
        <w:rFonts w:hint="default"/>
      </w:rPr>
    </w:lvl>
    <w:lvl w:ilvl="1">
      <w:start w:val="2"/>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 w15:restartNumberingAfterBreak="0">
    <w:nsid w:val="2DA71A30"/>
    <w:multiLevelType w:val="multilevel"/>
    <w:tmpl w:val="57EEBA64"/>
    <w:lvl w:ilvl="0">
      <w:start w:val="4"/>
      <w:numFmt w:val="decimal"/>
      <w:lvlText w:val="%1."/>
      <w:lvlJc w:val="left"/>
      <w:pPr>
        <w:ind w:left="360" w:hanging="360"/>
      </w:pPr>
      <w:rPr>
        <w:rFonts w:hint="default"/>
      </w:rPr>
    </w:lvl>
    <w:lvl w:ilvl="1">
      <w:start w:val="2"/>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 w15:restartNumberingAfterBreak="0">
    <w:nsid w:val="6A910526"/>
    <w:multiLevelType w:val="multilevel"/>
    <w:tmpl w:val="B2A6417E"/>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26"/>
    <w:rsid w:val="000B4332"/>
    <w:rsid w:val="002A3DB4"/>
    <w:rsid w:val="003C29FA"/>
    <w:rsid w:val="00650682"/>
    <w:rsid w:val="00BF3626"/>
    <w:rsid w:val="00EF1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267E-8BBC-4B96-9ACC-DD832AA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26"/>
    <w:rPr>
      <w:rFonts w:eastAsiaTheme="minorEastAs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
    <w:basedOn w:val="a"/>
    <w:link w:val="a4"/>
    <w:uiPriority w:val="34"/>
    <w:qFormat/>
    <w:rsid w:val="00BF3626"/>
    <w:pPr>
      <w:ind w:left="720"/>
      <w:contextualSpacing/>
    </w:pPr>
  </w:style>
  <w:style w:type="character" w:styleId="a5">
    <w:name w:val="Hyperlink"/>
    <w:uiPriority w:val="99"/>
    <w:unhideWhenUsed/>
    <w:rsid w:val="00BF3626"/>
    <w:rPr>
      <w:color w:val="0000FF"/>
      <w:u w:val="single"/>
    </w:rPr>
  </w:style>
  <w:style w:type="character" w:customStyle="1" w:styleId="a4">
    <w:name w:val="Абзац списка Знак"/>
    <w:aliases w:val="Normal bullet 2 Знак"/>
    <w:link w:val="a3"/>
    <w:uiPriority w:val="34"/>
    <w:locked/>
    <w:rsid w:val="00BF3626"/>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Timchenko@creditwest.ua" TargetMode="External"/><Relationship Id="rId3" Type="http://schemas.openxmlformats.org/officeDocument/2006/relationships/styles" Target="styles.xml"/><Relationship Id="rId7" Type="http://schemas.openxmlformats.org/officeDocument/2006/relationships/hyperlink" Target="mailto:Olena.Timchenko@creditwest.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editwest.ua/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ena.Timchenko@creditwest.ua" TargetMode="External"/><Relationship Id="rId4" Type="http://schemas.openxmlformats.org/officeDocument/2006/relationships/settings" Target="settings.xml"/><Relationship Id="rId9" Type="http://schemas.openxmlformats.org/officeDocument/2006/relationships/hyperlink" Target="mailto:Liudmyla.Levchuk@creditwe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821E-2918-468F-9904-4D88B0B3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10633</Words>
  <Characters>6062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Timchenko</dc:creator>
  <cp:keywords/>
  <dc:description/>
  <cp:lastModifiedBy>Olena Timchenko</cp:lastModifiedBy>
  <cp:revision>3</cp:revision>
  <dcterms:created xsi:type="dcterms:W3CDTF">2023-03-24T14:11:00Z</dcterms:created>
  <dcterms:modified xsi:type="dcterms:W3CDTF">2023-03-28T10:23:00Z</dcterms:modified>
</cp:coreProperties>
</file>