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6E193D" w:rsidRPr="005032A8" w:rsidTr="005849D2">
        <w:trPr>
          <w:trHeight w:val="560"/>
        </w:trPr>
        <w:tc>
          <w:tcPr>
            <w:tcW w:w="9918" w:type="dxa"/>
            <w:gridSpan w:val="2"/>
            <w:vAlign w:val="center"/>
          </w:tcPr>
          <w:p w:rsidR="006E193D" w:rsidRPr="005032A8" w:rsidRDefault="006E193D" w:rsidP="00F40F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5032A8" w:rsidTr="005849D2">
        <w:trPr>
          <w:trHeight w:val="1121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095" w:type="dxa"/>
          </w:tcPr>
          <w:p w:rsidR="0037283C" w:rsidRPr="005032A8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054E0" w:rsidRPr="005032A8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5032A8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5032A8" w:rsidTr="00FE69E1">
        <w:trPr>
          <w:trHeight w:val="838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032A8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095" w:type="dxa"/>
          </w:tcPr>
          <w:p w:rsidR="0037283C" w:rsidRPr="005032A8" w:rsidRDefault="00861B70" w:rsidP="005032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Україна, 010</w:t>
            </w:r>
            <w:r w:rsidR="005032A8" w:rsidRPr="005032A8">
              <w:rPr>
                <w:color w:val="000000"/>
                <w:sz w:val="28"/>
                <w:szCs w:val="28"/>
              </w:rPr>
              <w:t>54</w:t>
            </w:r>
            <w:r w:rsidRPr="005032A8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5032A8" w:rsidTr="005849D2">
        <w:trPr>
          <w:trHeight w:val="591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095" w:type="dxa"/>
          </w:tcPr>
          <w:p w:rsidR="0037283C" w:rsidRPr="005032A8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5032A8" w:rsidTr="00FE69E1">
        <w:trPr>
          <w:trHeight w:val="516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095" w:type="dxa"/>
          </w:tcPr>
          <w:p w:rsidR="00861B70" w:rsidRPr="005032A8" w:rsidRDefault="00273CD4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861B70" w:rsidRPr="005032A8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5032A8" w:rsidTr="005849D2">
        <w:trPr>
          <w:trHeight w:val="2635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095" w:type="dxa"/>
          </w:tcPr>
          <w:p w:rsidR="0037283C" w:rsidRPr="005032A8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 w:rsidRPr="005032A8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5032A8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0251A3">
              <w:rPr>
                <w:color w:val="000000"/>
                <w:sz w:val="28"/>
                <w:szCs w:val="28"/>
              </w:rPr>
              <w:t>54</w:t>
            </w:r>
            <w:r w:rsidRPr="005032A8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5032A8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8" w:history="1">
              <w:r w:rsidRPr="005032A8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474006" w:rsidRDefault="00273CD4" w:rsidP="00AF70F1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" w:history="1">
              <w:r w:rsidR="00474006" w:rsidRPr="0047400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uk-UA"/>
                </w:rPr>
                <w:t>Скарги та пропозиції</w:t>
              </w:r>
            </w:hyperlink>
            <w:r w:rsidR="00682349" w:rsidRPr="0047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682349" w:rsidRPr="005032A8" w:rsidRDefault="00474006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4006">
              <w:rPr>
                <w:rStyle w:val="a5"/>
                <w:sz w:val="28"/>
                <w:szCs w:val="28"/>
              </w:rPr>
              <w:t>https://www.creditwest.ua/uk/contact-us/complaints-and-suggestions/</w:t>
            </w:r>
          </w:p>
        </w:tc>
      </w:tr>
      <w:tr w:rsidR="0037283C" w:rsidRPr="005032A8" w:rsidTr="005849D2"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6095" w:type="dxa"/>
          </w:tcPr>
          <w:p w:rsidR="0037283C" w:rsidRPr="005032A8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37283C" w:rsidRPr="005032A8" w:rsidTr="005849D2">
        <w:trPr>
          <w:trHeight w:val="1804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095" w:type="dxa"/>
          </w:tcPr>
          <w:p w:rsidR="00F969B9" w:rsidRPr="005032A8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9B7B76" w:rsidRPr="005032A8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5032A8" w:rsidTr="0077633D">
        <w:trPr>
          <w:trHeight w:val="2220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інформаці</w:t>
            </w:r>
            <w:r w:rsidR="000831E2" w:rsidRPr="005032A8">
              <w:rPr>
                <w:color w:val="000000"/>
                <w:sz w:val="28"/>
                <w:szCs w:val="28"/>
              </w:rPr>
              <w:t>я</w:t>
            </w:r>
            <w:r w:rsidRPr="005032A8">
              <w:rPr>
                <w:color w:val="000000"/>
                <w:sz w:val="28"/>
                <w:szCs w:val="28"/>
              </w:rPr>
              <w:t xml:space="preserve"> щодо включення до </w:t>
            </w:r>
            <w:r w:rsidR="00A35B75" w:rsidRPr="005032A8">
              <w:rPr>
                <w:color w:val="000000"/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6095" w:type="dxa"/>
          </w:tcPr>
          <w:p w:rsidR="00C8116D" w:rsidRPr="005032A8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32A8">
              <w:rPr>
                <w:color w:val="000000"/>
                <w:sz w:val="28"/>
                <w:szCs w:val="28"/>
              </w:rPr>
              <w:t>Внесено</w:t>
            </w:r>
            <w:proofErr w:type="spellEnd"/>
            <w:r w:rsidRPr="005032A8">
              <w:rPr>
                <w:color w:val="000000"/>
                <w:sz w:val="28"/>
                <w:szCs w:val="28"/>
              </w:rPr>
              <w:t xml:space="preserve"> до Державного реєстру банків </w:t>
            </w:r>
          </w:p>
          <w:p w:rsidR="00861B70" w:rsidRPr="005032A8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04 жовтня 2006 р. за номером </w:t>
            </w:r>
            <w:r w:rsidR="00F969B9" w:rsidRPr="005032A8">
              <w:rPr>
                <w:color w:val="000000"/>
                <w:sz w:val="28"/>
                <w:szCs w:val="28"/>
              </w:rPr>
              <w:t xml:space="preserve">311, </w:t>
            </w:r>
            <w:r w:rsidRPr="005032A8">
              <w:rPr>
                <w:color w:val="000000"/>
                <w:sz w:val="28"/>
                <w:szCs w:val="28"/>
              </w:rPr>
              <w:t xml:space="preserve">згідно </w:t>
            </w:r>
            <w:r w:rsidR="00861B70" w:rsidRPr="005032A8">
              <w:rPr>
                <w:color w:val="000000"/>
                <w:sz w:val="28"/>
                <w:szCs w:val="28"/>
              </w:rPr>
              <w:t>Свідоцтв</w:t>
            </w:r>
            <w:r w:rsidRPr="005032A8">
              <w:rPr>
                <w:color w:val="000000"/>
                <w:sz w:val="28"/>
                <w:szCs w:val="28"/>
              </w:rPr>
              <w:t>а</w:t>
            </w:r>
            <w:r w:rsidR="00861B70" w:rsidRPr="005032A8">
              <w:rPr>
                <w:color w:val="000000"/>
                <w:sz w:val="28"/>
                <w:szCs w:val="28"/>
              </w:rPr>
              <w:t xml:space="preserve"> про реєстрацію </w:t>
            </w:r>
            <w:r w:rsidRPr="005032A8">
              <w:rPr>
                <w:color w:val="000000"/>
                <w:sz w:val="28"/>
                <w:szCs w:val="28"/>
              </w:rPr>
              <w:t>видан</w:t>
            </w:r>
            <w:r w:rsidR="00682349" w:rsidRPr="005032A8">
              <w:rPr>
                <w:color w:val="000000"/>
                <w:sz w:val="28"/>
                <w:szCs w:val="28"/>
              </w:rPr>
              <w:t>ого</w:t>
            </w:r>
            <w:r w:rsidRPr="005032A8">
              <w:rPr>
                <w:color w:val="000000"/>
                <w:sz w:val="28"/>
                <w:szCs w:val="28"/>
              </w:rPr>
              <w:t xml:space="preserve"> Національним Банком України </w:t>
            </w:r>
            <w:r w:rsidR="00861B70" w:rsidRPr="005032A8">
              <w:rPr>
                <w:color w:val="000000"/>
                <w:sz w:val="28"/>
                <w:szCs w:val="28"/>
              </w:rPr>
              <w:t xml:space="preserve">за №0000538 </w:t>
            </w:r>
            <w:hyperlink r:id="rId11" w:history="1">
              <w:r w:rsidR="009B7B76" w:rsidRPr="005032A8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5032A8" w:rsidTr="0077633D">
        <w:trPr>
          <w:trHeight w:val="1898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5032A8">
              <w:rPr>
                <w:color w:val="000000"/>
                <w:sz w:val="28"/>
                <w:szCs w:val="28"/>
              </w:rPr>
              <w:t>фінансової послуги</w:t>
            </w:r>
          </w:p>
        </w:tc>
        <w:tc>
          <w:tcPr>
            <w:tcW w:w="6095" w:type="dxa"/>
          </w:tcPr>
          <w:p w:rsidR="0037283C" w:rsidRPr="005032A8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Банківська ліцензія №235 від 14.11.2011</w:t>
            </w:r>
          </w:p>
          <w:p w:rsidR="00C8116D" w:rsidRPr="005032A8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Генеральна ліцензія на здійснення валютних операцій №235-3 від 04.11.2016</w:t>
            </w:r>
            <w:r w:rsidR="009B7B76" w:rsidRPr="005032A8"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9B7B76" w:rsidRPr="005032A8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5032A8" w:rsidTr="00447127">
        <w:trPr>
          <w:trHeight w:val="1835"/>
        </w:trPr>
        <w:tc>
          <w:tcPr>
            <w:tcW w:w="3823" w:type="dxa"/>
          </w:tcPr>
          <w:p w:rsidR="0037283C" w:rsidRPr="005032A8" w:rsidRDefault="0037283C" w:rsidP="00747D8D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контактн</w:t>
            </w:r>
            <w:r w:rsidR="00A35B75" w:rsidRPr="005032A8">
              <w:rPr>
                <w:color w:val="000000"/>
                <w:sz w:val="28"/>
                <w:szCs w:val="28"/>
              </w:rPr>
              <w:t>а</w:t>
            </w:r>
            <w:r w:rsidRPr="005032A8">
              <w:rPr>
                <w:color w:val="000000"/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5032A8">
              <w:rPr>
                <w:color w:val="000000"/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6095" w:type="dxa"/>
          </w:tcPr>
          <w:p w:rsidR="006E193D" w:rsidRPr="005032A8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  <w:p w:rsidR="0037283C" w:rsidRPr="005032A8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Телефон:</w:t>
            </w:r>
            <w:r w:rsidR="006E193D" w:rsidRPr="005032A8">
              <w:rPr>
                <w:color w:val="000000"/>
                <w:sz w:val="28"/>
                <w:szCs w:val="28"/>
              </w:rPr>
              <w:t xml:space="preserve"> </w:t>
            </w:r>
            <w:r w:rsidRPr="005032A8">
              <w:rPr>
                <w:color w:val="000000"/>
                <w:sz w:val="28"/>
                <w:szCs w:val="28"/>
              </w:rPr>
              <w:t>(044) 253-01-80</w:t>
            </w:r>
          </w:p>
          <w:p w:rsidR="006E193D" w:rsidRPr="005032A8" w:rsidRDefault="00273CD4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6E193D" w:rsidRPr="005032A8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5032A8" w:rsidTr="005849D2">
        <w:tc>
          <w:tcPr>
            <w:tcW w:w="9918" w:type="dxa"/>
            <w:gridSpan w:val="2"/>
          </w:tcPr>
          <w:p w:rsidR="00375675" w:rsidRPr="005032A8" w:rsidRDefault="006E193D" w:rsidP="00747D8D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ІНФОРМАЦІЯ ПРО ФІНАНСОВУ ПОСЛУГУ </w:t>
            </w:r>
          </w:p>
          <w:p w:rsidR="006E193D" w:rsidRPr="00C0584C" w:rsidRDefault="006E193D" w:rsidP="00485FE1">
            <w:pPr>
              <w:pStyle w:val="a4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4D10D3" w:rsidRPr="005032A8" w:rsidTr="005849D2">
        <w:trPr>
          <w:trHeight w:val="560"/>
        </w:trPr>
        <w:tc>
          <w:tcPr>
            <w:tcW w:w="3823" w:type="dxa"/>
          </w:tcPr>
          <w:p w:rsidR="004D10D3" w:rsidRPr="005032A8" w:rsidRDefault="004D10D3" w:rsidP="00747D8D">
            <w:pP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6095" w:type="dxa"/>
            <w:vAlign w:val="center"/>
          </w:tcPr>
          <w:p w:rsidR="004D10D3" w:rsidRPr="00D411A3" w:rsidRDefault="00DF1684" w:rsidP="009A68BF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411A3">
              <w:rPr>
                <w:rFonts w:ascii="Times New Roman" w:hAnsi="Times New Roman" w:cs="Times New Roman"/>
                <w:b/>
                <w:sz w:val="28"/>
                <w:szCs w:val="28"/>
              </w:rPr>
              <w:t>Відкри</w:t>
            </w:r>
            <w:bookmarkStart w:id="0" w:name="_GoBack"/>
            <w:bookmarkEnd w:id="0"/>
            <w:r w:rsidRPr="00D411A3">
              <w:rPr>
                <w:rFonts w:ascii="Times New Roman" w:hAnsi="Times New Roman" w:cs="Times New Roman"/>
                <w:b/>
                <w:sz w:val="28"/>
                <w:szCs w:val="28"/>
              </w:rPr>
              <w:t>тий факторинг з регресом</w:t>
            </w:r>
          </w:p>
        </w:tc>
      </w:tr>
      <w:tr w:rsidR="000831E2" w:rsidRPr="005032A8" w:rsidTr="005849D2">
        <w:tc>
          <w:tcPr>
            <w:tcW w:w="3823" w:type="dxa"/>
          </w:tcPr>
          <w:p w:rsidR="000831E2" w:rsidRPr="005032A8" w:rsidRDefault="007127CE" w:rsidP="00747D8D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 xml:space="preserve">Відсоткова </w:t>
            </w:r>
            <w:r w:rsidR="000831E2" w:rsidRPr="005032A8">
              <w:rPr>
                <w:color w:val="000000"/>
                <w:sz w:val="28"/>
                <w:szCs w:val="28"/>
              </w:rPr>
              <w:t>ставка, річних</w:t>
            </w:r>
          </w:p>
        </w:tc>
        <w:tc>
          <w:tcPr>
            <w:tcW w:w="6095" w:type="dxa"/>
          </w:tcPr>
          <w:p w:rsidR="008D3469" w:rsidRPr="008D3469" w:rsidRDefault="008D3469" w:rsidP="008D3469">
            <w:pPr>
              <w:pStyle w:val="Iauiue"/>
              <w:ind w:right="-1"/>
              <w:jc w:val="both"/>
              <w:rPr>
                <w:sz w:val="28"/>
                <w:szCs w:val="28"/>
                <w:lang w:val="uk-UA" w:eastAsia="ar-SA"/>
              </w:rPr>
            </w:pPr>
            <w:r w:rsidRPr="008D3469">
              <w:rPr>
                <w:sz w:val="28"/>
                <w:szCs w:val="28"/>
                <w:lang w:val="uk-UA" w:eastAsia="ar-SA"/>
              </w:rPr>
              <w:t xml:space="preserve">Фіксована. </w:t>
            </w:r>
          </w:p>
          <w:p w:rsidR="008D3469" w:rsidRPr="0045355C" w:rsidRDefault="008D3469" w:rsidP="008D3469">
            <w:pPr>
              <w:pStyle w:val="1"/>
              <w:tabs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3469">
              <w:rPr>
                <w:rFonts w:ascii="Times New Roman" w:hAnsi="Times New Roman"/>
                <w:sz w:val="28"/>
                <w:szCs w:val="28"/>
                <w:lang w:eastAsia="ar-SA"/>
              </w:rPr>
              <w:t>0,00%</w:t>
            </w:r>
            <w:r w:rsidRPr="008D3469" w:rsidDel="00C924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D346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(нуль процентів) річних – встановлюється з дати надання фінансування та діє протягом строку відстрочки </w:t>
            </w:r>
            <w:r w:rsidRPr="0045355C">
              <w:rPr>
                <w:rFonts w:ascii="Times New Roman" w:hAnsi="Times New Roman"/>
                <w:sz w:val="28"/>
                <w:szCs w:val="28"/>
                <w:lang w:eastAsia="ar-SA"/>
              </w:rPr>
              <w:t>платежу до дати початку Додаткового строку;</w:t>
            </w:r>
          </w:p>
          <w:p w:rsidR="00EB3D34" w:rsidRPr="005032A8" w:rsidRDefault="00921190" w:rsidP="006825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55C">
              <w:rPr>
                <w:sz w:val="28"/>
                <w:szCs w:val="28"/>
                <w:lang w:eastAsia="ar-SA"/>
              </w:rPr>
              <w:t>25</w:t>
            </w:r>
            <w:r w:rsidR="008D3469" w:rsidRPr="0045355C">
              <w:rPr>
                <w:sz w:val="28"/>
                <w:szCs w:val="28"/>
                <w:lang w:eastAsia="ar-SA"/>
              </w:rPr>
              <w:t>%</w:t>
            </w:r>
            <w:r w:rsidR="008D3469" w:rsidRPr="0045355C" w:rsidDel="00C924AB">
              <w:rPr>
                <w:sz w:val="28"/>
                <w:szCs w:val="28"/>
                <w:lang w:eastAsia="ar-SA"/>
              </w:rPr>
              <w:t xml:space="preserve"> </w:t>
            </w:r>
            <w:r w:rsidRPr="0045355C">
              <w:rPr>
                <w:sz w:val="28"/>
                <w:szCs w:val="28"/>
                <w:lang w:eastAsia="ar-SA"/>
              </w:rPr>
              <w:t>(двадцять п’ять)</w:t>
            </w:r>
            <w:r w:rsidR="008D3469" w:rsidRPr="0045355C">
              <w:rPr>
                <w:sz w:val="28"/>
                <w:szCs w:val="28"/>
                <w:lang w:eastAsia="ar-SA"/>
              </w:rPr>
              <w:t xml:space="preserve"> річних – встановлюється з дня початку Додаткового строку та діє до повного погашання боргу.</w:t>
            </w:r>
          </w:p>
        </w:tc>
      </w:tr>
      <w:tr w:rsidR="000831E2" w:rsidRPr="005032A8" w:rsidTr="00A4018E">
        <w:trPr>
          <w:trHeight w:val="276"/>
        </w:trPr>
        <w:tc>
          <w:tcPr>
            <w:tcW w:w="3823" w:type="dxa"/>
          </w:tcPr>
          <w:p w:rsidR="000831E2" w:rsidRPr="005032A8" w:rsidRDefault="007127CE" w:rsidP="00747D8D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К</w:t>
            </w:r>
            <w:r w:rsidR="000831E2" w:rsidRPr="005032A8">
              <w:rPr>
                <w:color w:val="000000"/>
                <w:sz w:val="28"/>
                <w:szCs w:val="28"/>
              </w:rPr>
              <w:t xml:space="preserve">омісії </w:t>
            </w:r>
            <w:r w:rsidRPr="005032A8">
              <w:rPr>
                <w:color w:val="000000"/>
                <w:sz w:val="28"/>
                <w:szCs w:val="28"/>
              </w:rPr>
              <w:t>за кредитом</w:t>
            </w:r>
          </w:p>
        </w:tc>
        <w:tc>
          <w:tcPr>
            <w:tcW w:w="6095" w:type="dxa"/>
          </w:tcPr>
          <w:p w:rsidR="00AA64E7" w:rsidRPr="005032A8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A8">
              <w:rPr>
                <w:rFonts w:ascii="Times New Roman" w:hAnsi="Times New Roman" w:cs="Times New Roman"/>
                <w:sz w:val="28"/>
                <w:szCs w:val="28"/>
              </w:rPr>
              <w:t>Банк застосовує наступні види комісій:</w:t>
            </w:r>
          </w:p>
          <w:p w:rsidR="00C0584C" w:rsidRPr="00EE62FE" w:rsidRDefault="00C0584C" w:rsidP="00C0584C">
            <w:pPr>
              <w:tabs>
                <w:tab w:val="left" w:pos="271"/>
              </w:tabs>
              <w:ind w:firstLine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62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Комісія за встановлення кредитного ліміту в рамках факторингу з регресом</w:t>
            </w:r>
            <w:r w:rsidRPr="00EE62FE">
              <w:rPr>
                <w:rFonts w:ascii="Times New Roman" w:hAnsi="Times New Roman" w:cs="Times New Roman"/>
                <w:sz w:val="28"/>
                <w:szCs w:val="28"/>
              </w:rPr>
              <w:t xml:space="preserve"> – разова, </w:t>
            </w:r>
            <w:r w:rsidRPr="00EE62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0,1%</w:t>
            </w:r>
            <w:r w:rsidRPr="00EE62FE">
              <w:rPr>
                <w:rFonts w:ascii="Times New Roman" w:hAnsi="Times New Roman" w:cs="Times New Roman"/>
                <w:sz w:val="28"/>
                <w:szCs w:val="28"/>
              </w:rPr>
              <w:t xml:space="preserve"> від суми ліміту фінансування по факторингу, але не менше 1.500,00 гривень (без ПДВ)</w:t>
            </w:r>
            <w:r w:rsidRPr="00EE62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К</w:t>
            </w:r>
            <w:r w:rsidRPr="00EE62FE">
              <w:rPr>
                <w:rFonts w:ascii="Times New Roman" w:hAnsi="Times New Roman" w:cs="Times New Roman"/>
                <w:sz w:val="28"/>
                <w:szCs w:val="28"/>
              </w:rPr>
              <w:t>омісія, розраховується як відсоток</w:t>
            </w:r>
            <w:r w:rsidRPr="00EE62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E62FE">
              <w:rPr>
                <w:rFonts w:ascii="Times New Roman" w:hAnsi="Times New Roman" w:cs="Times New Roman"/>
                <w:sz w:val="28"/>
                <w:szCs w:val="28"/>
              </w:rPr>
              <w:t xml:space="preserve">від розміру встановленого ліміту факторингу (без ПДВ). Зазначена комісія сплачується </w:t>
            </w:r>
            <w:r w:rsidRPr="00EE62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день укладання договору факторингу, сплачується Клієнтом самостійно або списується Банком шляхом договірного списання з поточного рахунку Клієнта.</w:t>
            </w:r>
          </w:p>
          <w:p w:rsidR="00C0584C" w:rsidRPr="00EE62FE" w:rsidRDefault="00C0584C" w:rsidP="00C0584C">
            <w:pPr>
              <w:tabs>
                <w:tab w:val="left" w:pos="271"/>
              </w:tabs>
              <w:ind w:firstLine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62F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  <w:t>2. Комісія за надання фінансування (кредиту) в рамках факторингу з регресом</w:t>
            </w:r>
            <w:r w:rsidRPr="00EE62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E62FE">
              <w:rPr>
                <w:rFonts w:ascii="Times New Roman" w:hAnsi="Times New Roman" w:cs="Times New Roman"/>
                <w:sz w:val="28"/>
                <w:szCs w:val="28"/>
              </w:rPr>
              <w:t>– разова комісія, розраховується як відсоток</w:t>
            </w:r>
            <w:r w:rsidRPr="00EE62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від суми Інвойсу та розміру Авансу (без ПДВ), зазначена комісія сплачується Клієнтом самостійно до надання Авансу або списується Банком шляхом договірного списання з поточного рахунку Клієнта в день перерахування Фактором Клієнту суми Авансу (у випадку достатності коштів - до надання Авансу,  у випадку відсутності коштів - відразу після сплати суми Авансу).</w:t>
            </w:r>
          </w:p>
          <w:p w:rsidR="008539CA" w:rsidRPr="00EE62FE" w:rsidRDefault="008539CA" w:rsidP="00C0584C">
            <w:pPr>
              <w:tabs>
                <w:tab w:val="left" w:pos="271"/>
              </w:tabs>
              <w:ind w:left="34"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0584C" w:rsidRPr="00EE61F0" w:rsidRDefault="00C0584C" w:rsidP="00C0584C">
            <w:pPr>
              <w:tabs>
                <w:tab w:val="left" w:pos="271"/>
              </w:tabs>
              <w:ind w:left="34"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61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Розмір:</w:t>
            </w:r>
          </w:p>
          <w:tbl>
            <w:tblPr>
              <w:tblW w:w="5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134"/>
              <w:gridCol w:w="992"/>
              <w:gridCol w:w="1192"/>
            </w:tblGrid>
            <w:tr w:rsidR="00C0584C" w:rsidRPr="00E958E1" w:rsidTr="00983227">
              <w:trPr>
                <w:trHeight w:val="213"/>
              </w:trPr>
              <w:tc>
                <w:tcPr>
                  <w:tcW w:w="130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58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Категорія Дебітора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Рівень Авансу</w:t>
                  </w:r>
                </w:p>
              </w:tc>
              <w:tc>
                <w:tcPr>
                  <w:tcW w:w="3318" w:type="dxa"/>
                  <w:gridSpan w:val="3"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Строк відстрочки, днів</w:t>
                  </w:r>
                </w:p>
              </w:tc>
            </w:tr>
            <w:tr w:rsidR="00C0584C" w:rsidRPr="00E958E1" w:rsidTr="00983227">
              <w:trPr>
                <w:trHeight w:val="238"/>
              </w:trPr>
              <w:tc>
                <w:tcPr>
                  <w:tcW w:w="1304" w:type="dxa"/>
                  <w:vMerge/>
                  <w:shd w:val="clear" w:color="auto" w:fill="auto"/>
                  <w:noWrap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0-30 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31-60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61-90</w:t>
                  </w:r>
                </w:p>
              </w:tc>
            </w:tr>
            <w:tr w:rsidR="00C0584C" w:rsidRPr="00E958E1" w:rsidTr="00983227">
              <w:trPr>
                <w:trHeight w:val="250"/>
              </w:trPr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  <w:vAlign w:val="center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80% </w:t>
                  </w:r>
                </w:p>
              </w:tc>
              <w:tc>
                <w:tcPr>
                  <w:tcW w:w="1134" w:type="dxa"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1,08%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2,27%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3,45%</w:t>
                  </w:r>
                </w:p>
              </w:tc>
            </w:tr>
            <w:tr w:rsidR="00C0584C" w:rsidRPr="00E958E1" w:rsidTr="00983227">
              <w:trPr>
                <w:trHeight w:val="250"/>
              </w:trPr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70% </w:t>
                  </w:r>
                </w:p>
              </w:tc>
              <w:tc>
                <w:tcPr>
                  <w:tcW w:w="1134" w:type="dxa"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0,94%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1,97%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3,01%</w:t>
                  </w:r>
                </w:p>
              </w:tc>
            </w:tr>
            <w:tr w:rsidR="00C0584C" w:rsidRPr="00E958E1" w:rsidTr="00983227">
              <w:trPr>
                <w:trHeight w:val="214"/>
              </w:trPr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34" w:type="dxa"/>
                  <w:vAlign w:val="bottom"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0,79%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1,68%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:rsidR="00C0584C" w:rsidRPr="00E958E1" w:rsidRDefault="00C0584C" w:rsidP="00C05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8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2,56%</w:t>
                  </w:r>
                </w:p>
              </w:tc>
            </w:tr>
          </w:tbl>
          <w:p w:rsidR="00D60938" w:rsidRDefault="00D609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39CA" w:rsidRPr="005032A8" w:rsidRDefault="008539C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31E2" w:rsidRPr="005032A8" w:rsidTr="005849D2">
        <w:tc>
          <w:tcPr>
            <w:tcW w:w="3823" w:type="dxa"/>
          </w:tcPr>
          <w:p w:rsidR="000831E2" w:rsidRPr="005032A8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lastRenderedPageBreak/>
              <w:t xml:space="preserve">Комісія за відкриття </w:t>
            </w:r>
            <w:r w:rsidR="00A621BB" w:rsidRPr="005032A8">
              <w:rPr>
                <w:color w:val="000000"/>
                <w:sz w:val="28"/>
                <w:szCs w:val="28"/>
              </w:rPr>
              <w:t xml:space="preserve">та ведення </w:t>
            </w:r>
            <w:r w:rsidRPr="005032A8">
              <w:rPr>
                <w:color w:val="000000"/>
                <w:sz w:val="28"/>
                <w:szCs w:val="28"/>
              </w:rPr>
              <w:t>поточного рахунку</w:t>
            </w:r>
          </w:p>
        </w:tc>
        <w:tc>
          <w:tcPr>
            <w:tcW w:w="6095" w:type="dxa"/>
          </w:tcPr>
          <w:p w:rsidR="00993720" w:rsidRDefault="00993720" w:rsidP="009937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3720">
              <w:rPr>
                <w:color w:val="000000"/>
                <w:sz w:val="28"/>
                <w:szCs w:val="28"/>
                <w:lang w:val="ru-RU"/>
              </w:rPr>
              <w:t>ТАРИФНИЙ ПАКЕТ "</w:t>
            </w:r>
            <w:proofErr w:type="spellStart"/>
            <w:r w:rsidRPr="00993720">
              <w:rPr>
                <w:color w:val="000000"/>
                <w:sz w:val="28"/>
                <w:szCs w:val="28"/>
                <w:lang w:val="ru-RU"/>
              </w:rPr>
              <w:t>Standard</w:t>
            </w:r>
            <w:proofErr w:type="spellEnd"/>
            <w:r w:rsidRPr="00993720">
              <w:rPr>
                <w:color w:val="000000"/>
                <w:sz w:val="28"/>
                <w:szCs w:val="28"/>
                <w:lang w:val="ru-RU"/>
              </w:rPr>
              <w:t>"</w:t>
            </w:r>
            <w:r>
              <w:rPr>
                <w:color w:val="000000"/>
                <w:sz w:val="28"/>
                <w:szCs w:val="28"/>
                <w:lang w:val="ru-RU"/>
              </w:rPr>
              <w:t>:</w:t>
            </w:r>
            <w:r w:rsidRPr="0099372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21BB" w:rsidRPr="005032A8" w:rsidRDefault="00993720" w:rsidP="009937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B4916" w:rsidRPr="005032A8">
              <w:rPr>
                <w:color w:val="000000"/>
                <w:sz w:val="28"/>
                <w:szCs w:val="28"/>
              </w:rPr>
              <w:t>50,00 гривен</w:t>
            </w:r>
            <w:r w:rsidR="00A52BF4" w:rsidRPr="005032A8">
              <w:rPr>
                <w:color w:val="000000"/>
                <w:sz w:val="28"/>
                <w:szCs w:val="28"/>
              </w:rPr>
              <w:t>ь</w:t>
            </w:r>
            <w:r w:rsidR="00A621BB" w:rsidRPr="005032A8">
              <w:rPr>
                <w:color w:val="000000"/>
                <w:sz w:val="28"/>
                <w:szCs w:val="28"/>
              </w:rPr>
              <w:t xml:space="preserve"> (одноразово) та 200,00 гривень (щомісячно)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податки, збори</w:t>
            </w:r>
          </w:p>
        </w:tc>
        <w:tc>
          <w:tcPr>
            <w:tcW w:w="6095" w:type="dxa"/>
          </w:tcPr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5032A8" w:rsidTr="005849D2">
        <w:trPr>
          <w:trHeight w:val="439"/>
        </w:trPr>
        <w:tc>
          <w:tcPr>
            <w:tcW w:w="9918" w:type="dxa"/>
            <w:gridSpan w:val="2"/>
            <w:vAlign w:val="center"/>
          </w:tcPr>
          <w:p w:rsidR="007127CE" w:rsidRPr="005032A8" w:rsidRDefault="007127CE" w:rsidP="00AF34EB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5032A8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1D33AD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095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 xml:space="preserve">Не передбачено 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1C702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6095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Не передбачено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1C702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095" w:type="dxa"/>
          </w:tcPr>
          <w:p w:rsidR="007127CE" w:rsidRPr="005032A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6095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6095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095" w:type="dxa"/>
          </w:tcPr>
          <w:p w:rsidR="007127CE" w:rsidRPr="005032A8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5032A8" w:rsidTr="005849D2">
        <w:trPr>
          <w:trHeight w:val="799"/>
        </w:trPr>
        <w:tc>
          <w:tcPr>
            <w:tcW w:w="9918" w:type="dxa"/>
            <w:gridSpan w:val="2"/>
            <w:vAlign w:val="center"/>
          </w:tcPr>
          <w:p w:rsidR="007127CE" w:rsidRPr="005032A8" w:rsidRDefault="007127CE" w:rsidP="007800B5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5032A8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8E717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6095" w:type="dxa"/>
          </w:tcPr>
          <w:p w:rsidR="00703489" w:rsidRPr="005032A8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5032A8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lastRenderedPageBreak/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5032A8" w:rsidTr="005849D2">
        <w:tc>
          <w:tcPr>
            <w:tcW w:w="3823" w:type="dxa"/>
          </w:tcPr>
          <w:p w:rsidR="007127CE" w:rsidRPr="005032A8" w:rsidRDefault="007127CE" w:rsidP="001D33AD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/>
                <w:sz w:val="28"/>
                <w:szCs w:val="28"/>
              </w:rPr>
              <w:lastRenderedPageBreak/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095" w:type="dxa"/>
          </w:tcPr>
          <w:p w:rsidR="007127CE" w:rsidRPr="005032A8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A8">
              <w:rPr>
                <w:color w:val="000000" w:themeColor="text1"/>
                <w:sz w:val="28"/>
                <w:szCs w:val="28"/>
              </w:rPr>
              <w:t>Не застосовується</w:t>
            </w:r>
          </w:p>
        </w:tc>
      </w:tr>
    </w:tbl>
    <w:p w:rsidR="004C38FB" w:rsidRPr="005032A8" w:rsidRDefault="00273CD4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5032A8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DE062E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6A2F"/>
    <w:multiLevelType w:val="multilevel"/>
    <w:tmpl w:val="A60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251A3"/>
    <w:rsid w:val="00027653"/>
    <w:rsid w:val="0003100A"/>
    <w:rsid w:val="00064CD8"/>
    <w:rsid w:val="000812FC"/>
    <w:rsid w:val="000831E2"/>
    <w:rsid w:val="000A431E"/>
    <w:rsid w:val="000B43E5"/>
    <w:rsid w:val="000C0DF1"/>
    <w:rsid w:val="001054E0"/>
    <w:rsid w:val="001168E8"/>
    <w:rsid w:val="00117BC9"/>
    <w:rsid w:val="00152359"/>
    <w:rsid w:val="00161CC1"/>
    <w:rsid w:val="00182074"/>
    <w:rsid w:val="001C702C"/>
    <w:rsid w:val="001D04F5"/>
    <w:rsid w:val="001D33AD"/>
    <w:rsid w:val="001D4B9A"/>
    <w:rsid w:val="00210318"/>
    <w:rsid w:val="00224B57"/>
    <w:rsid w:val="00242D07"/>
    <w:rsid w:val="00245EE6"/>
    <w:rsid w:val="00253093"/>
    <w:rsid w:val="00254939"/>
    <w:rsid w:val="002B385B"/>
    <w:rsid w:val="002B4C8F"/>
    <w:rsid w:val="00333F28"/>
    <w:rsid w:val="00344EA0"/>
    <w:rsid w:val="00360304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F6C25"/>
    <w:rsid w:val="0040137A"/>
    <w:rsid w:val="00403DD6"/>
    <w:rsid w:val="0040428B"/>
    <w:rsid w:val="00420A8A"/>
    <w:rsid w:val="004301C5"/>
    <w:rsid w:val="00436909"/>
    <w:rsid w:val="00447127"/>
    <w:rsid w:val="0045355C"/>
    <w:rsid w:val="00461609"/>
    <w:rsid w:val="00474006"/>
    <w:rsid w:val="00485FE1"/>
    <w:rsid w:val="00490F81"/>
    <w:rsid w:val="004956AF"/>
    <w:rsid w:val="004C5594"/>
    <w:rsid w:val="004D10D3"/>
    <w:rsid w:val="004E22A2"/>
    <w:rsid w:val="004F7101"/>
    <w:rsid w:val="004F78FF"/>
    <w:rsid w:val="005032A8"/>
    <w:rsid w:val="00554F3D"/>
    <w:rsid w:val="00564816"/>
    <w:rsid w:val="00576A4A"/>
    <w:rsid w:val="005849D2"/>
    <w:rsid w:val="00597A8F"/>
    <w:rsid w:val="005A1DC5"/>
    <w:rsid w:val="005B3CFE"/>
    <w:rsid w:val="005D4678"/>
    <w:rsid w:val="005E0BC1"/>
    <w:rsid w:val="005E0FB5"/>
    <w:rsid w:val="00667D7B"/>
    <w:rsid w:val="00671772"/>
    <w:rsid w:val="00682349"/>
    <w:rsid w:val="006825F1"/>
    <w:rsid w:val="006B5C20"/>
    <w:rsid w:val="006E193D"/>
    <w:rsid w:val="00703489"/>
    <w:rsid w:val="007127CE"/>
    <w:rsid w:val="0072575B"/>
    <w:rsid w:val="00727783"/>
    <w:rsid w:val="00747D8D"/>
    <w:rsid w:val="007519C2"/>
    <w:rsid w:val="0076078D"/>
    <w:rsid w:val="00773B8A"/>
    <w:rsid w:val="0077521B"/>
    <w:rsid w:val="0077633D"/>
    <w:rsid w:val="007800B5"/>
    <w:rsid w:val="00786471"/>
    <w:rsid w:val="007A2C46"/>
    <w:rsid w:val="007F0F07"/>
    <w:rsid w:val="007F7972"/>
    <w:rsid w:val="00826F93"/>
    <w:rsid w:val="00847763"/>
    <w:rsid w:val="008539CA"/>
    <w:rsid w:val="00861B70"/>
    <w:rsid w:val="00867187"/>
    <w:rsid w:val="008B3278"/>
    <w:rsid w:val="008B7D67"/>
    <w:rsid w:val="008C6CB6"/>
    <w:rsid w:val="008D3469"/>
    <w:rsid w:val="008E7179"/>
    <w:rsid w:val="00921190"/>
    <w:rsid w:val="00944BDB"/>
    <w:rsid w:val="0095715E"/>
    <w:rsid w:val="009674B9"/>
    <w:rsid w:val="00973290"/>
    <w:rsid w:val="00983227"/>
    <w:rsid w:val="00993720"/>
    <w:rsid w:val="009A68BF"/>
    <w:rsid w:val="009B2746"/>
    <w:rsid w:val="009B7B76"/>
    <w:rsid w:val="009F1C4C"/>
    <w:rsid w:val="00A02587"/>
    <w:rsid w:val="00A11E8F"/>
    <w:rsid w:val="00A13832"/>
    <w:rsid w:val="00A167B5"/>
    <w:rsid w:val="00A2282D"/>
    <w:rsid w:val="00A245CB"/>
    <w:rsid w:val="00A35B75"/>
    <w:rsid w:val="00A4018E"/>
    <w:rsid w:val="00A469C9"/>
    <w:rsid w:val="00A52BF4"/>
    <w:rsid w:val="00A621BB"/>
    <w:rsid w:val="00A66F6D"/>
    <w:rsid w:val="00A86B13"/>
    <w:rsid w:val="00AA64E7"/>
    <w:rsid w:val="00AC6C0C"/>
    <w:rsid w:val="00AD3750"/>
    <w:rsid w:val="00AE22E7"/>
    <w:rsid w:val="00AE3C1B"/>
    <w:rsid w:val="00AE6205"/>
    <w:rsid w:val="00AF1704"/>
    <w:rsid w:val="00AF34EB"/>
    <w:rsid w:val="00AF3DF6"/>
    <w:rsid w:val="00B07C60"/>
    <w:rsid w:val="00B505FA"/>
    <w:rsid w:val="00B57ABC"/>
    <w:rsid w:val="00B57C68"/>
    <w:rsid w:val="00B82E44"/>
    <w:rsid w:val="00B834F9"/>
    <w:rsid w:val="00C0584C"/>
    <w:rsid w:val="00C32083"/>
    <w:rsid w:val="00C417BA"/>
    <w:rsid w:val="00C4559C"/>
    <w:rsid w:val="00C57A6D"/>
    <w:rsid w:val="00C64A33"/>
    <w:rsid w:val="00C8116D"/>
    <w:rsid w:val="00C85AA7"/>
    <w:rsid w:val="00C867E3"/>
    <w:rsid w:val="00C90C15"/>
    <w:rsid w:val="00C9141E"/>
    <w:rsid w:val="00C95F71"/>
    <w:rsid w:val="00C96B15"/>
    <w:rsid w:val="00CB4916"/>
    <w:rsid w:val="00CC5FD5"/>
    <w:rsid w:val="00CD3A32"/>
    <w:rsid w:val="00CF4653"/>
    <w:rsid w:val="00D411A3"/>
    <w:rsid w:val="00D51CA0"/>
    <w:rsid w:val="00D55AA0"/>
    <w:rsid w:val="00D607F5"/>
    <w:rsid w:val="00D60938"/>
    <w:rsid w:val="00D65FB4"/>
    <w:rsid w:val="00D74100"/>
    <w:rsid w:val="00D91270"/>
    <w:rsid w:val="00D96333"/>
    <w:rsid w:val="00DC239E"/>
    <w:rsid w:val="00DD67F5"/>
    <w:rsid w:val="00DD75CB"/>
    <w:rsid w:val="00DE4548"/>
    <w:rsid w:val="00DF1684"/>
    <w:rsid w:val="00E135F7"/>
    <w:rsid w:val="00E17796"/>
    <w:rsid w:val="00E44B13"/>
    <w:rsid w:val="00E673A0"/>
    <w:rsid w:val="00E72D5A"/>
    <w:rsid w:val="00E840E6"/>
    <w:rsid w:val="00EB3D34"/>
    <w:rsid w:val="00ED0647"/>
    <w:rsid w:val="00ED4820"/>
    <w:rsid w:val="00ED4E32"/>
    <w:rsid w:val="00EE2F33"/>
    <w:rsid w:val="00EE62FE"/>
    <w:rsid w:val="00F02579"/>
    <w:rsid w:val="00F23B09"/>
    <w:rsid w:val="00F40F02"/>
    <w:rsid w:val="00F9116E"/>
    <w:rsid w:val="00F969B9"/>
    <w:rsid w:val="00FA2E00"/>
    <w:rsid w:val="00FB667C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8D346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="Cambria" w:eastAsia="Calibri" w:hAnsi="Cambria" w:cs="Times New Roman"/>
      <w:i/>
      <w:color w:val="243F6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76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8D3469"/>
    <w:rPr>
      <w:rFonts w:ascii="Cambria" w:eastAsia="Calibri" w:hAnsi="Cambria" w:cs="Times New Roman"/>
      <w:i/>
      <w:color w:val="243F60"/>
      <w:sz w:val="20"/>
      <w:szCs w:val="20"/>
      <w:lang w:eastAsia="uk-UA"/>
    </w:rPr>
  </w:style>
  <w:style w:type="paragraph" w:customStyle="1" w:styleId="Iauiue">
    <w:name w:val="Iau?iue"/>
    <w:link w:val="IauiueChar"/>
    <w:rsid w:val="008D34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IauiueChar">
    <w:name w:val="Iau?iue Char"/>
    <w:link w:val="Iauiue"/>
    <w:locked/>
    <w:rsid w:val="008D346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1">
    <w:name w:val="Текст1"/>
    <w:basedOn w:val="a"/>
    <w:rsid w:val="008D34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aints-and-sugges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14B7-5352-414E-ACD7-15FF35B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3849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Maryna Voloshyna</cp:lastModifiedBy>
  <cp:revision>31</cp:revision>
  <dcterms:created xsi:type="dcterms:W3CDTF">2022-01-13T12:27:00Z</dcterms:created>
  <dcterms:modified xsi:type="dcterms:W3CDTF">2022-01-13T16:53:00Z</dcterms:modified>
</cp:coreProperties>
</file>