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1054E0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254939" w:rsidRDefault="003F6344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670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7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8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3F6344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5670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3F6344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4939">
              <w:rPr>
                <w:color w:val="000000"/>
              </w:rPr>
              <w:t>Внесено</w:t>
            </w:r>
            <w:proofErr w:type="spellEnd"/>
            <w:r w:rsidRPr="00254939">
              <w:rPr>
                <w:color w:val="000000"/>
              </w:rPr>
              <w:t xml:space="preserve"> до Державного реєстру банків </w:t>
            </w:r>
          </w:p>
          <w:p w:rsidR="00861B70" w:rsidRPr="00254939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hyperlink r:id="rId11" w:history="1">
              <w:r w:rsidR="003F6344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  <w:r w:rsidR="003F6344">
              <w:rPr>
                <w:color w:val="000000"/>
              </w:rPr>
              <w:t xml:space="preserve"> </w:t>
            </w:r>
            <w:hyperlink r:id="rId12" w:history="1">
              <w:r w:rsidR="003F6344">
                <w:rPr>
                  <w:rStyle w:val="a5"/>
                </w:rPr>
                <w:t>https://www.creditwest.ua/uk/about-us/statutory-documents/</w:t>
              </w:r>
            </w:hyperlink>
            <w:bookmarkStart w:id="0" w:name="_GoBack"/>
            <w:bookmarkEnd w:id="0"/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3F6344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662454">
        <w:trPr>
          <w:trHeight w:val="700"/>
        </w:trPr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29056C" w:rsidRDefault="0029056C" w:rsidP="0029056C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  <w:lang w:val="en-US"/>
              </w:rPr>
            </w:pPr>
            <w:r w:rsidRPr="000924BA">
              <w:rPr>
                <w:rFonts w:ascii="Times New Roman" w:hAnsi="Times New Roman" w:cs="Times New Roman"/>
                <w:b/>
                <w:caps/>
                <w:color w:val="0070C0"/>
                <w:lang w:val="en-US"/>
              </w:rPr>
              <w:t xml:space="preserve">Корпоративний овердрафт </w:t>
            </w:r>
          </w:p>
          <w:p w:rsidR="006E193D" w:rsidRPr="00254939" w:rsidRDefault="006E193D" w:rsidP="0029056C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5D467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 xml:space="preserve">Відсоткова </w:t>
            </w:r>
            <w:r w:rsidR="000831E2" w:rsidRPr="005D4678">
              <w:rPr>
                <w:color w:val="000000"/>
              </w:rPr>
              <w:t>ставка, річних</w:t>
            </w:r>
          </w:p>
        </w:tc>
        <w:tc>
          <w:tcPr>
            <w:tcW w:w="5670" w:type="dxa"/>
          </w:tcPr>
          <w:tbl>
            <w:tblPr>
              <w:tblW w:w="4313" w:type="dxa"/>
              <w:tblLook w:val="04A0" w:firstRow="1" w:lastRow="0" w:firstColumn="1" w:lastColumn="0" w:noHBand="0" w:noVBand="1"/>
            </w:tblPr>
            <w:tblGrid>
              <w:gridCol w:w="1745"/>
              <w:gridCol w:w="836"/>
              <w:gridCol w:w="836"/>
              <w:gridCol w:w="896"/>
            </w:tblGrid>
            <w:tr w:rsidR="00D607F5" w:rsidRPr="00D607F5" w:rsidTr="00662454">
              <w:trPr>
                <w:trHeight w:val="630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290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0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</w:t>
                  </w:r>
                  <w:r w:rsidR="0029056C" w:rsidRPr="00290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безперервної заборгованості</w:t>
                  </w:r>
                  <w:r w:rsidR="002905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D607F5" w:rsidRPr="00D607F5" w:rsidTr="00662454">
              <w:trPr>
                <w:trHeight w:val="315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607F5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F5" w:rsidRPr="00DE2384" w:rsidRDefault="00D607F5" w:rsidP="00D60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07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EUR</w:t>
                  </w:r>
                </w:p>
              </w:tc>
            </w:tr>
            <w:tr w:rsidR="00283B9D" w:rsidRPr="00D607F5" w:rsidTr="00662454">
              <w:trPr>
                <w:trHeight w:val="315"/>
              </w:trPr>
              <w:tc>
                <w:tcPr>
                  <w:tcW w:w="1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днів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19.5%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</w:tr>
            <w:tr w:rsidR="00283B9D" w:rsidRPr="00D607F5" w:rsidTr="00662454">
              <w:trPr>
                <w:trHeight w:val="315"/>
              </w:trPr>
              <w:tc>
                <w:tcPr>
                  <w:tcW w:w="1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 днів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20.0%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</w:tr>
            <w:tr w:rsidR="00283B9D" w:rsidRPr="00D607F5" w:rsidTr="00662454">
              <w:trPr>
                <w:trHeight w:val="315"/>
              </w:trPr>
              <w:tc>
                <w:tcPr>
                  <w:tcW w:w="1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днів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B9D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22.0%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B9D" w:rsidRPr="00662454" w:rsidRDefault="00283B9D" w:rsidP="00283B9D">
                  <w:pPr>
                    <w:pStyle w:val="rvps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662454">
                    <w:rPr>
                      <w:color w:val="000000"/>
                    </w:rPr>
                    <w:t>-</w:t>
                  </w:r>
                </w:p>
              </w:tc>
            </w:tr>
          </w:tbl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>*Сплачується щомісячно.</w:t>
            </w:r>
          </w:p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EB3D34" w:rsidRPr="005D467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рішення Кредитного </w:t>
            </w:r>
            <w:r w:rsidR="00A13832" w:rsidRPr="00F9116E">
              <w:rPr>
                <w:color w:val="000000"/>
              </w:rPr>
              <w:t xml:space="preserve">Комітету </w:t>
            </w:r>
            <w:r w:rsidRPr="00F9116E">
              <w:rPr>
                <w:color w:val="000000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0831E2"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5670" w:type="dxa"/>
          </w:tcPr>
          <w:p w:rsidR="00AA64E7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застосовує наступні види комісій: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1. </w:t>
            </w:r>
            <w:r w:rsidRPr="000812FC">
              <w:rPr>
                <w:b/>
                <w:i/>
                <w:color w:val="000000"/>
              </w:rPr>
              <w:t xml:space="preserve">Комісія за надання (ініціювання) </w:t>
            </w:r>
            <w:r w:rsidR="00D87645">
              <w:rPr>
                <w:b/>
                <w:i/>
                <w:color w:val="000000"/>
                <w:lang w:val="ru-RU"/>
              </w:rPr>
              <w:t>овердрафту</w:t>
            </w:r>
            <w:r>
              <w:rPr>
                <w:color w:val="000000"/>
              </w:rPr>
              <w:t xml:space="preserve">. </w:t>
            </w:r>
            <w:r w:rsidRPr="000812FC">
              <w:rPr>
                <w:color w:val="000000"/>
              </w:rPr>
              <w:t xml:space="preserve">Розраховується як певний відсоток від розміру </w:t>
            </w:r>
            <w:r w:rsidR="00D87645">
              <w:rPr>
                <w:color w:val="000000"/>
                <w:lang w:val="ru-RU"/>
              </w:rPr>
              <w:t>овердрафту</w:t>
            </w:r>
            <w:r w:rsidRPr="000812FC">
              <w:rPr>
                <w:color w:val="000000"/>
              </w:rPr>
              <w:t xml:space="preserve">, </w:t>
            </w:r>
            <w:r w:rsidRPr="000812FC">
              <w:rPr>
                <w:b/>
                <w:color w:val="000000"/>
                <w:u w:val="single"/>
              </w:rPr>
              <w:t>порядок сплати комісії:</w:t>
            </w:r>
            <w:r w:rsidRPr="000812FC">
              <w:rPr>
                <w:color w:val="000000"/>
              </w:rPr>
              <w:t xml:space="preserve"> </w:t>
            </w:r>
            <w:r w:rsidRPr="000812FC">
              <w:rPr>
                <w:b/>
                <w:color w:val="000000"/>
                <w:u w:val="single"/>
              </w:rPr>
              <w:t>однією сумою</w:t>
            </w:r>
            <w:r w:rsidRPr="000812FC">
              <w:rPr>
                <w:b/>
                <w:color w:val="000000"/>
              </w:rPr>
              <w:t xml:space="preserve"> </w:t>
            </w:r>
            <w:r w:rsidRPr="000812FC">
              <w:rPr>
                <w:color w:val="000000"/>
              </w:rPr>
              <w:t xml:space="preserve">не пізніше дати укладення </w:t>
            </w:r>
            <w:r w:rsidR="00D87645">
              <w:rPr>
                <w:color w:val="000000"/>
                <w:lang w:val="ru-RU"/>
              </w:rPr>
              <w:t>договору</w:t>
            </w:r>
            <w:r w:rsidRPr="000812FC">
              <w:rPr>
                <w:color w:val="000000"/>
              </w:rPr>
              <w:t>.</w:t>
            </w:r>
          </w:p>
          <w:p w:rsidR="000812FC" w:rsidRPr="000812FC" w:rsidRDefault="00787806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12FC" w:rsidRPr="000812FC">
              <w:rPr>
                <w:color w:val="000000"/>
              </w:rPr>
              <w:t xml:space="preserve">. </w:t>
            </w:r>
            <w:r w:rsidR="000812FC" w:rsidRPr="000812FC">
              <w:rPr>
                <w:b/>
                <w:i/>
                <w:color w:val="000000"/>
              </w:rPr>
              <w:t xml:space="preserve">Комісія за збільшення ліміту </w:t>
            </w:r>
            <w:r w:rsidR="00954595">
              <w:rPr>
                <w:b/>
                <w:i/>
                <w:color w:val="000000"/>
                <w:lang w:val="ru-RU"/>
              </w:rPr>
              <w:t>овердрафту</w:t>
            </w:r>
            <w:r w:rsidR="000812FC" w:rsidRPr="000812FC">
              <w:rPr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="000812FC" w:rsidRPr="000812FC">
              <w:rPr>
                <w:color w:val="000000"/>
              </w:rPr>
              <w:t xml:space="preserve">Розраховується як певний відсоток від суми збільшення ліміту </w:t>
            </w:r>
            <w:r w:rsidR="00954595" w:rsidRPr="00DE2384">
              <w:rPr>
                <w:color w:val="000000"/>
              </w:rPr>
              <w:t>овердрафту</w:t>
            </w:r>
            <w:r w:rsidR="000812FC" w:rsidRPr="000812FC">
              <w:rPr>
                <w:color w:val="000000"/>
              </w:rPr>
              <w:t xml:space="preserve">, </w:t>
            </w:r>
            <w:r w:rsidR="000812FC"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="000812FC" w:rsidRPr="000812FC">
              <w:rPr>
                <w:b/>
                <w:color w:val="000000"/>
              </w:rPr>
              <w:t xml:space="preserve">: </w:t>
            </w:r>
            <w:r w:rsidR="000812FC"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="000812FC" w:rsidRPr="000812FC">
              <w:rPr>
                <w:color w:val="000000"/>
              </w:rPr>
              <w:t xml:space="preserve"> протягом строку дії </w:t>
            </w:r>
            <w:r w:rsidR="00954595" w:rsidRPr="00DE2384">
              <w:rPr>
                <w:color w:val="000000"/>
              </w:rPr>
              <w:t>овердрафту</w:t>
            </w:r>
            <w:r w:rsidR="000812FC" w:rsidRPr="000812FC">
              <w:rPr>
                <w:color w:val="000000"/>
              </w:rPr>
              <w:t xml:space="preserve"> (щомісяця, щокварталу, щорічно, тощо)</w:t>
            </w:r>
            <w:r w:rsidR="00117BC9">
              <w:rPr>
                <w:color w:val="000000"/>
              </w:rPr>
              <w:t>.</w:t>
            </w:r>
          </w:p>
          <w:p w:rsidR="000812FC" w:rsidRPr="000812FC" w:rsidRDefault="00787806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812FC" w:rsidRPr="000812FC">
              <w:rPr>
                <w:color w:val="000000"/>
              </w:rPr>
              <w:t xml:space="preserve">. </w:t>
            </w:r>
            <w:r w:rsidR="000812FC" w:rsidRPr="000812FC">
              <w:rPr>
                <w:b/>
                <w:i/>
                <w:color w:val="000000"/>
              </w:rPr>
              <w:t xml:space="preserve">Комісія за пролонгацію строку дії </w:t>
            </w:r>
            <w:r w:rsidR="00954595">
              <w:rPr>
                <w:b/>
                <w:i/>
                <w:color w:val="000000"/>
                <w:lang w:val="ru-RU"/>
              </w:rPr>
              <w:t>овердрафту</w:t>
            </w:r>
            <w:r w:rsidR="000812FC" w:rsidRPr="000812FC">
              <w:rPr>
                <w:b/>
                <w:i/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="000812FC" w:rsidRPr="000812FC">
              <w:rPr>
                <w:color w:val="000000"/>
              </w:rPr>
              <w:t xml:space="preserve">Розраховується як певний відсоток від розміру ліміту </w:t>
            </w:r>
            <w:r w:rsidR="00954595" w:rsidRPr="00DE2384">
              <w:rPr>
                <w:color w:val="000000"/>
              </w:rPr>
              <w:t>овердрафту</w:t>
            </w:r>
            <w:r w:rsidR="000812FC" w:rsidRPr="000812FC">
              <w:rPr>
                <w:color w:val="000000"/>
              </w:rPr>
              <w:t xml:space="preserve">, </w:t>
            </w:r>
            <w:r w:rsidR="000812FC"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="000812FC" w:rsidRPr="000812FC">
              <w:rPr>
                <w:b/>
                <w:color w:val="000000"/>
              </w:rPr>
              <w:t xml:space="preserve">: </w:t>
            </w:r>
            <w:r w:rsidR="000812FC"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="000812FC" w:rsidRPr="000812FC">
              <w:rPr>
                <w:color w:val="000000"/>
              </w:rPr>
              <w:t xml:space="preserve"> протягом строку дії </w:t>
            </w:r>
            <w:r w:rsidR="00954595" w:rsidRPr="00DE2384">
              <w:rPr>
                <w:color w:val="000000"/>
              </w:rPr>
              <w:t>овердрафту</w:t>
            </w:r>
            <w:r w:rsidR="000812FC" w:rsidRPr="000812FC">
              <w:rPr>
                <w:color w:val="000000"/>
              </w:rPr>
              <w:t xml:space="preserve"> (щомісяця, щокварталу, щорічно, тощо).</w:t>
            </w:r>
          </w:p>
          <w:p w:rsidR="00152359" w:rsidRPr="00064CD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A13832" w:rsidTr="00A13832">
              <w:tc>
                <w:tcPr>
                  <w:tcW w:w="3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1%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29056C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29056C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A13832" w:rsidRPr="00F9116E" w:rsidRDefault="00152359" w:rsidP="00A13832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13832"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D60938" w:rsidRPr="005D4678" w:rsidRDefault="00A13832" w:rsidP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>рішення Кредитного Комітету Банку в залежності від строків, фінансового становища позичальника, забезпечення.</w:t>
            </w:r>
            <w:r w:rsidR="00D60938">
              <w:rPr>
                <w:color w:val="000000"/>
              </w:rPr>
              <w:t xml:space="preserve"> </w:t>
            </w:r>
            <w:r w:rsidR="00D60938"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Комісія </w:t>
            </w:r>
            <w:r w:rsidRPr="00A621BB">
              <w:rPr>
                <w:color w:val="000000"/>
              </w:rPr>
              <w:t xml:space="preserve">за відкриття </w:t>
            </w:r>
            <w:r w:rsidR="00A621BB" w:rsidRPr="00A621BB">
              <w:rPr>
                <w:color w:val="000000"/>
              </w:rPr>
              <w:t xml:space="preserve">та ведення </w:t>
            </w:r>
            <w:r w:rsidRPr="00A621BB">
              <w:rPr>
                <w:color w:val="000000"/>
              </w:rPr>
              <w:t>поточного рахунку</w:t>
            </w:r>
          </w:p>
        </w:tc>
        <w:tc>
          <w:tcPr>
            <w:tcW w:w="5670" w:type="dxa"/>
          </w:tcPr>
          <w:p w:rsidR="00A621BB" w:rsidRPr="005D4678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CB4916">
              <w:rPr>
                <w:color w:val="000000"/>
              </w:rPr>
              <w:t xml:space="preserve">50,00 </w:t>
            </w:r>
            <w:r w:rsidR="00CB4916" w:rsidRPr="00A621BB">
              <w:rPr>
                <w:color w:val="000000"/>
              </w:rPr>
              <w:t>гривен</w:t>
            </w:r>
            <w:r w:rsidR="00A52BF4" w:rsidRPr="00A621BB">
              <w:rPr>
                <w:color w:val="000000"/>
              </w:rPr>
              <w:t>ь</w:t>
            </w:r>
            <w:r w:rsidRPr="00A621BB">
              <w:rPr>
                <w:color w:val="000000"/>
              </w:rPr>
              <w:t xml:space="preserve"> (одноразово) та 200,00 гривень (</w:t>
            </w:r>
            <w:r>
              <w:rPr>
                <w:color w:val="000000"/>
              </w:rPr>
              <w:t>щомісячно)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нотаріуса</w:t>
            </w:r>
          </w:p>
        </w:tc>
        <w:tc>
          <w:tcPr>
            <w:tcW w:w="5670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витрати: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5C20">
              <w:rPr>
                <w:b/>
                <w:color w:val="000000"/>
              </w:rPr>
              <w:t>0.1% від вартості майна</w:t>
            </w:r>
            <w:r>
              <w:rPr>
                <w:color w:val="000000"/>
              </w:rPr>
              <w:t xml:space="preserve">, але не менше ніж </w:t>
            </w:r>
            <w:r w:rsidRPr="006B5C2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Pr="006B5C20">
              <w:rPr>
                <w:b/>
                <w:color w:val="000000"/>
              </w:rPr>
              <w:t>000,00 гривень</w:t>
            </w:r>
            <w:r>
              <w:rPr>
                <w:color w:val="000000"/>
              </w:rPr>
              <w:t>, згідно тарифів акредитованих нотаріусів.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Перелік акредитованих нотаріусів</w:t>
            </w:r>
            <w:r w:rsidRPr="005D4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розміщений</w:t>
            </w:r>
            <w:r w:rsidRPr="005D4678">
              <w:rPr>
                <w:color w:val="000000"/>
              </w:rPr>
              <w:t xml:space="preserve"> за посиланням:</w:t>
            </w:r>
            <w:r>
              <w:rPr>
                <w:color w:val="000000"/>
              </w:rPr>
              <w:t xml:space="preserve"> </w:t>
            </w:r>
            <w:hyperlink r:id="rId14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оцінювача</w:t>
            </w:r>
          </w:p>
        </w:tc>
        <w:tc>
          <w:tcPr>
            <w:tcW w:w="5670" w:type="dxa"/>
          </w:tcPr>
          <w:p w:rsidR="00ED0647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згідно тарифів акредитованих оцінювачів:</w:t>
            </w:r>
          </w:p>
          <w:p w:rsidR="00773B8A" w:rsidRDefault="00773B8A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4980" w:type="dxa"/>
              <w:tblLook w:val="04A0" w:firstRow="1" w:lastRow="0" w:firstColumn="1" w:lastColumn="0" w:noHBand="0" w:noVBand="1"/>
            </w:tblPr>
            <w:tblGrid>
              <w:gridCol w:w="3460"/>
              <w:gridCol w:w="1520"/>
            </w:tblGrid>
            <w:tr w:rsidR="00773B8A" w:rsidRPr="00773B8A" w:rsidTr="00773B8A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3E5F00"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3E5F00"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3E5F00"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3.000,00</w:t>
                  </w:r>
                </w:p>
              </w:tc>
            </w:tr>
            <w:tr w:rsidR="00773B8A" w:rsidRPr="00773B8A" w:rsidTr="00773B8A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Товари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5D4678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205">
              <w:rPr>
                <w:color w:val="000000"/>
              </w:rPr>
              <w:t>*Розмір орієнтовний та встановлюється за тарифами  оцінювача в залежності від виду майна, місцезнаходження, кількості об’єктів, загальної площі, інших характеристик.</w:t>
            </w:r>
            <w:r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Перелік акредитованих оцінювачів</w:t>
            </w:r>
            <w:r w:rsidR="007127CE" w:rsidRPr="005D4678"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розміщений</w:t>
            </w:r>
            <w:r w:rsidR="007127CE" w:rsidRPr="005D4678">
              <w:rPr>
                <w:color w:val="000000"/>
              </w:rPr>
              <w:t xml:space="preserve"> за посиланням:</w:t>
            </w:r>
            <w:r w:rsidR="007127CE">
              <w:rPr>
                <w:color w:val="000000"/>
              </w:rPr>
              <w:t xml:space="preserve"> </w:t>
            </w:r>
            <w:hyperlink r:id="rId15" w:history="1">
              <w:r w:rsidR="007127CE"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lastRenderedPageBreak/>
              <w:t xml:space="preserve">Послуги </w:t>
            </w:r>
            <w:r w:rsidR="007127CE" w:rsidRPr="00403DD6">
              <w:t>страховика</w:t>
            </w:r>
          </w:p>
        </w:tc>
        <w:tc>
          <w:tcPr>
            <w:tcW w:w="5670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% від вартості забезпечення:</w:t>
            </w:r>
          </w:p>
          <w:tbl>
            <w:tblPr>
              <w:tblW w:w="5276" w:type="dxa"/>
              <w:tblLook w:val="04A0" w:firstRow="1" w:lastRow="0" w:firstColumn="1" w:lastColumn="0" w:noHBand="0" w:noVBand="1"/>
            </w:tblPr>
            <w:tblGrid>
              <w:gridCol w:w="3856"/>
              <w:gridCol w:w="1420"/>
            </w:tblGrid>
            <w:tr w:rsidR="00253093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%, не більше</w:t>
                  </w:r>
                  <w:r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253093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</w:tr>
            <w:tr w:rsidR="003F6C25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253093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C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DE2384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  <w:r w:rsidR="003F6C25"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56AF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3757CA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5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DE2384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3757CA" w:rsidRPr="00253093" w:rsidTr="0076078D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3757CA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DE2384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C6C0C" w:rsidRPr="004F78FF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4F78FF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4F78FF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8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253093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E2384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</w:t>
                  </w:r>
                  <w:r w:rsidR="003F6C25"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76078D" w:rsidRPr="00253093" w:rsidTr="0076078D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253093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DE2384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3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0.22</w:t>
                  </w:r>
                </w:p>
              </w:tc>
            </w:tr>
          </w:tbl>
          <w:p w:rsidR="00436909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D5B">
              <w:rPr>
                <w:color w:val="000000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 w:rsidR="007A2C46">
              <w:rPr>
                <w:color w:val="000000"/>
              </w:rPr>
              <w:t>, розміру франшизи</w:t>
            </w:r>
            <w:r w:rsidRPr="007E1D5B">
              <w:rPr>
                <w:color w:val="000000"/>
              </w:rPr>
              <w:t xml:space="preserve"> та інших умов договору страхування. </w:t>
            </w:r>
            <w:r w:rsidR="007127CE">
              <w:rPr>
                <w:color w:val="000000"/>
              </w:rPr>
              <w:t xml:space="preserve">Перелік акредитованих страхових компаній розміщений </w:t>
            </w:r>
            <w:r w:rsidR="007127CE" w:rsidRPr="005D4678">
              <w:rPr>
                <w:color w:val="000000"/>
              </w:rPr>
              <w:t>за посиланням:</w:t>
            </w: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16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t>податки, збори</w:t>
            </w:r>
          </w:p>
        </w:tc>
        <w:tc>
          <w:tcPr>
            <w:tcW w:w="5670" w:type="dxa"/>
          </w:tcPr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 xml:space="preserve">Не передбачено 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670" w:type="dxa"/>
          </w:tcPr>
          <w:p w:rsidR="007127CE" w:rsidRPr="00E840E6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передбачено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670" w:type="dxa"/>
          </w:tcPr>
          <w:p w:rsidR="007127CE" w:rsidRPr="00E840E6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5670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670" w:type="dxa"/>
          </w:tcPr>
          <w:p w:rsidR="007127CE" w:rsidRPr="0070348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254939" w:rsidTr="00CF4653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lastRenderedPageBreak/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670" w:type="dxa"/>
          </w:tcPr>
          <w:p w:rsidR="00703489" w:rsidRPr="00BC7D34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254939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7127CE" w:rsidRPr="00254939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застосовується</w:t>
            </w:r>
          </w:p>
        </w:tc>
      </w:tr>
    </w:tbl>
    <w:p w:rsidR="004C38FB" w:rsidRPr="00254939" w:rsidRDefault="003F6344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4CD8"/>
    <w:rsid w:val="000812FC"/>
    <w:rsid w:val="000831E2"/>
    <w:rsid w:val="000A431E"/>
    <w:rsid w:val="000C0DF1"/>
    <w:rsid w:val="001054E0"/>
    <w:rsid w:val="001168E8"/>
    <w:rsid w:val="00117BC9"/>
    <w:rsid w:val="00152359"/>
    <w:rsid w:val="00161CC1"/>
    <w:rsid w:val="00181A5E"/>
    <w:rsid w:val="001D04F5"/>
    <w:rsid w:val="001D4B9A"/>
    <w:rsid w:val="00210318"/>
    <w:rsid w:val="00224B57"/>
    <w:rsid w:val="00242D07"/>
    <w:rsid w:val="00253093"/>
    <w:rsid w:val="00254939"/>
    <w:rsid w:val="00280A2E"/>
    <w:rsid w:val="00283B9D"/>
    <w:rsid w:val="0029056C"/>
    <w:rsid w:val="002B385B"/>
    <w:rsid w:val="00357FFC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E5F00"/>
    <w:rsid w:val="003F6344"/>
    <w:rsid w:val="003F6C25"/>
    <w:rsid w:val="0040137A"/>
    <w:rsid w:val="00403DD6"/>
    <w:rsid w:val="0040428B"/>
    <w:rsid w:val="00420A8A"/>
    <w:rsid w:val="00436909"/>
    <w:rsid w:val="00490F81"/>
    <w:rsid w:val="004956AF"/>
    <w:rsid w:val="004C5594"/>
    <w:rsid w:val="004E22A2"/>
    <w:rsid w:val="004F7101"/>
    <w:rsid w:val="004F78FF"/>
    <w:rsid w:val="00554F3D"/>
    <w:rsid w:val="00564816"/>
    <w:rsid w:val="00576A4A"/>
    <w:rsid w:val="00597A8F"/>
    <w:rsid w:val="005D4678"/>
    <w:rsid w:val="005E0BC1"/>
    <w:rsid w:val="005E0FB5"/>
    <w:rsid w:val="00662454"/>
    <w:rsid w:val="00667D7B"/>
    <w:rsid w:val="00671772"/>
    <w:rsid w:val="00682349"/>
    <w:rsid w:val="006B5C20"/>
    <w:rsid w:val="006E193D"/>
    <w:rsid w:val="00703489"/>
    <w:rsid w:val="007127CE"/>
    <w:rsid w:val="0072575B"/>
    <w:rsid w:val="0076078D"/>
    <w:rsid w:val="00773B8A"/>
    <w:rsid w:val="0077521B"/>
    <w:rsid w:val="00787806"/>
    <w:rsid w:val="007A2C46"/>
    <w:rsid w:val="00826F93"/>
    <w:rsid w:val="00847763"/>
    <w:rsid w:val="00861B70"/>
    <w:rsid w:val="00866492"/>
    <w:rsid w:val="00867187"/>
    <w:rsid w:val="008A58D6"/>
    <w:rsid w:val="008B3278"/>
    <w:rsid w:val="00944BDB"/>
    <w:rsid w:val="00954595"/>
    <w:rsid w:val="009674B9"/>
    <w:rsid w:val="00973290"/>
    <w:rsid w:val="009B2746"/>
    <w:rsid w:val="009E083C"/>
    <w:rsid w:val="00A02587"/>
    <w:rsid w:val="00A11E8F"/>
    <w:rsid w:val="00A13832"/>
    <w:rsid w:val="00A167B5"/>
    <w:rsid w:val="00A2282D"/>
    <w:rsid w:val="00A245CB"/>
    <w:rsid w:val="00A35B75"/>
    <w:rsid w:val="00A469C9"/>
    <w:rsid w:val="00A52BF4"/>
    <w:rsid w:val="00A621BB"/>
    <w:rsid w:val="00A66F6D"/>
    <w:rsid w:val="00A86B13"/>
    <w:rsid w:val="00AA64E7"/>
    <w:rsid w:val="00AC6C0C"/>
    <w:rsid w:val="00AE22E7"/>
    <w:rsid w:val="00AE3C1B"/>
    <w:rsid w:val="00AE6205"/>
    <w:rsid w:val="00AF3DF6"/>
    <w:rsid w:val="00B12CAE"/>
    <w:rsid w:val="00B57ABC"/>
    <w:rsid w:val="00B57C68"/>
    <w:rsid w:val="00B82E44"/>
    <w:rsid w:val="00B834F9"/>
    <w:rsid w:val="00C32083"/>
    <w:rsid w:val="00C4559C"/>
    <w:rsid w:val="00C64A33"/>
    <w:rsid w:val="00C8116D"/>
    <w:rsid w:val="00C85AA7"/>
    <w:rsid w:val="00C90C15"/>
    <w:rsid w:val="00CB4916"/>
    <w:rsid w:val="00CC5FD5"/>
    <w:rsid w:val="00CD3A32"/>
    <w:rsid w:val="00CF4653"/>
    <w:rsid w:val="00D55AA0"/>
    <w:rsid w:val="00D607F5"/>
    <w:rsid w:val="00D60938"/>
    <w:rsid w:val="00D65FB4"/>
    <w:rsid w:val="00D74100"/>
    <w:rsid w:val="00D87645"/>
    <w:rsid w:val="00DC239E"/>
    <w:rsid w:val="00DD75CB"/>
    <w:rsid w:val="00DE2384"/>
    <w:rsid w:val="00E44B13"/>
    <w:rsid w:val="00E673A0"/>
    <w:rsid w:val="00E72D5A"/>
    <w:rsid w:val="00E840E6"/>
    <w:rsid w:val="00EB3D34"/>
    <w:rsid w:val="00ED0647"/>
    <w:rsid w:val="00ED4820"/>
    <w:rsid w:val="00EE2F33"/>
    <w:rsid w:val="00F02579"/>
    <w:rsid w:val="00F23B09"/>
    <w:rsid w:val="00F9116E"/>
    <w:rsid w:val="00F969B9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ditwest.ua/uk/retail-banking/consumer-loa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ditwest.ua/uk/retail-banking/consumer-loans/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hyperlink" Target="https://www.creditwest.ua/uk/retail-banking/consumer-lo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9D4-ED07-4E7E-80D4-24DEE4DA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4910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5</cp:revision>
  <dcterms:created xsi:type="dcterms:W3CDTF">2020-01-21T08:35:00Z</dcterms:created>
  <dcterms:modified xsi:type="dcterms:W3CDTF">2020-01-27T11:40:00Z</dcterms:modified>
</cp:coreProperties>
</file>