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38" w:type="dxa"/>
        <w:tblLayout w:type="fixed"/>
        <w:tblLook w:val="04A0" w:firstRow="1" w:lastRow="0" w:firstColumn="1" w:lastColumn="0" w:noHBand="0" w:noVBand="1"/>
      </w:tblPr>
      <w:tblGrid>
        <w:gridCol w:w="2737"/>
        <w:gridCol w:w="490"/>
        <w:gridCol w:w="29"/>
        <w:gridCol w:w="6882"/>
      </w:tblGrid>
      <w:tr w:rsidR="006E193D" w:rsidTr="00DF41B9">
        <w:tc>
          <w:tcPr>
            <w:tcW w:w="10138" w:type="dxa"/>
            <w:gridSpan w:val="4"/>
          </w:tcPr>
          <w:p w:rsidR="006E193D" w:rsidRPr="006E193D" w:rsidRDefault="006E193D" w:rsidP="006E193D">
            <w:pPr>
              <w:pStyle w:val="a4"/>
              <w:numPr>
                <w:ilvl w:val="0"/>
                <w:numId w:val="2"/>
              </w:numPr>
              <w:rPr>
                <w:b/>
                <w:caps/>
              </w:rPr>
            </w:pPr>
            <w:r w:rsidRPr="006E193D">
              <w:rPr>
                <w:b/>
                <w:caps/>
              </w:rPr>
              <w:t>особa, яка надає фінансовУ послугУ:</w:t>
            </w:r>
          </w:p>
        </w:tc>
      </w:tr>
      <w:tr w:rsidR="0037283C" w:rsidTr="00CE3B99">
        <w:tc>
          <w:tcPr>
            <w:tcW w:w="3227" w:type="dxa"/>
            <w:gridSpan w:val="2"/>
          </w:tcPr>
          <w:p w:rsidR="0037283C" w:rsidRPr="006F3DD8" w:rsidRDefault="0037283C" w:rsidP="000831E2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F3DD8">
              <w:rPr>
                <w:color w:val="000000"/>
              </w:rPr>
              <w:t xml:space="preserve">найменування </w:t>
            </w:r>
          </w:p>
        </w:tc>
        <w:tc>
          <w:tcPr>
            <w:tcW w:w="6911" w:type="dxa"/>
            <w:gridSpan w:val="2"/>
          </w:tcPr>
          <w:p w:rsidR="0037283C" w:rsidRPr="00A35B75" w:rsidRDefault="00861B70" w:rsidP="00861B7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61B70">
              <w:rPr>
                <w:color w:val="000000"/>
              </w:rPr>
              <w:t>Акціонерне товариство “ВЕСТ ФАЙНЕНС ЕНД КРЕДИТ БАНК”</w:t>
            </w:r>
            <w:r w:rsidR="00391EAD">
              <w:rPr>
                <w:color w:val="000000"/>
              </w:rPr>
              <w:t xml:space="preserve"> (скорочене найменування </w:t>
            </w:r>
            <w:r>
              <w:rPr>
                <w:color w:val="000000"/>
              </w:rPr>
              <w:t>АТ «КРЕДИТВЕСТ БАНК»)</w:t>
            </w:r>
          </w:p>
        </w:tc>
      </w:tr>
      <w:tr w:rsidR="0037283C" w:rsidTr="00CE3B99">
        <w:tc>
          <w:tcPr>
            <w:tcW w:w="3227" w:type="dxa"/>
            <w:gridSpan w:val="2"/>
          </w:tcPr>
          <w:p w:rsidR="0037283C" w:rsidRDefault="0037283C" w:rsidP="000831E2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6F3DD8">
              <w:rPr>
                <w:color w:val="000000"/>
              </w:rPr>
              <w:t>місцезнаходження</w:t>
            </w:r>
          </w:p>
        </w:tc>
        <w:tc>
          <w:tcPr>
            <w:tcW w:w="6911" w:type="dxa"/>
            <w:gridSpan w:val="2"/>
          </w:tcPr>
          <w:p w:rsidR="0037283C" w:rsidRPr="00A35B75" w:rsidRDefault="00861B70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61B70">
              <w:rPr>
                <w:color w:val="000000"/>
              </w:rPr>
              <w:t>Україна, 01030, м. Київ, вул. Леонтовича, 4, літера «А, A1»</w:t>
            </w:r>
          </w:p>
        </w:tc>
      </w:tr>
      <w:tr w:rsidR="0037283C" w:rsidTr="00CE3B99">
        <w:tc>
          <w:tcPr>
            <w:tcW w:w="3227" w:type="dxa"/>
            <w:gridSpan w:val="2"/>
          </w:tcPr>
          <w:p w:rsidR="0037283C" w:rsidRPr="000831E2" w:rsidRDefault="0037283C" w:rsidP="000831E2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F3DD8">
              <w:rPr>
                <w:color w:val="000000"/>
              </w:rPr>
              <w:t>контактний телефон</w:t>
            </w:r>
          </w:p>
        </w:tc>
        <w:tc>
          <w:tcPr>
            <w:tcW w:w="6911" w:type="dxa"/>
            <w:gridSpan w:val="2"/>
          </w:tcPr>
          <w:p w:rsidR="0037283C" w:rsidRPr="00A35B75" w:rsidRDefault="00861B70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61B70">
              <w:rPr>
                <w:color w:val="000000"/>
              </w:rPr>
              <w:t>+38 (044) 365-00-01, факс +38 (044) 365-00-04</w:t>
            </w:r>
          </w:p>
        </w:tc>
      </w:tr>
      <w:tr w:rsidR="0037283C" w:rsidTr="00CE3B99">
        <w:tc>
          <w:tcPr>
            <w:tcW w:w="3227" w:type="dxa"/>
            <w:gridSpan w:val="2"/>
          </w:tcPr>
          <w:p w:rsidR="0037283C" w:rsidRPr="006F3DD8" w:rsidRDefault="0037283C" w:rsidP="000831E2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F3DD8">
              <w:rPr>
                <w:color w:val="000000"/>
              </w:rPr>
              <w:t>адреса електронної пошти</w:t>
            </w:r>
          </w:p>
        </w:tc>
        <w:tc>
          <w:tcPr>
            <w:tcW w:w="6911" w:type="dxa"/>
            <w:gridSpan w:val="2"/>
          </w:tcPr>
          <w:p w:rsidR="00861B70" w:rsidRPr="00A35B75" w:rsidRDefault="003F4021" w:rsidP="00861B7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5" w:history="1">
              <w:r w:rsidR="00861B70" w:rsidRPr="007672DC">
                <w:rPr>
                  <w:rStyle w:val="a5"/>
                </w:rPr>
                <w:t>info@creditwest.ua</w:t>
              </w:r>
            </w:hyperlink>
          </w:p>
        </w:tc>
      </w:tr>
      <w:tr w:rsidR="0037283C" w:rsidTr="00CE3B99">
        <w:tc>
          <w:tcPr>
            <w:tcW w:w="3227" w:type="dxa"/>
            <w:gridSpan w:val="2"/>
          </w:tcPr>
          <w:p w:rsidR="0037283C" w:rsidRPr="006F3DD8" w:rsidRDefault="0037283C" w:rsidP="000831E2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F3DD8">
              <w:rPr>
                <w:color w:val="000000"/>
              </w:rPr>
              <w:t xml:space="preserve">адреса, за якою приймаються </w:t>
            </w:r>
            <w:r w:rsidRPr="000831E2">
              <w:rPr>
                <w:color w:val="000000"/>
              </w:rPr>
              <w:t xml:space="preserve">звернення </w:t>
            </w:r>
          </w:p>
        </w:tc>
        <w:tc>
          <w:tcPr>
            <w:tcW w:w="6911" w:type="dxa"/>
            <w:gridSpan w:val="2"/>
          </w:tcPr>
          <w:p w:rsidR="0037283C" w:rsidRDefault="00682349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6F3DD8">
              <w:rPr>
                <w:color w:val="000000"/>
              </w:rPr>
              <w:t>дреса електронної пошти</w:t>
            </w:r>
            <w:r>
              <w:rPr>
                <w:color w:val="000000"/>
              </w:rPr>
              <w:t xml:space="preserve">: </w:t>
            </w:r>
            <w:hyperlink r:id="rId6" w:history="1">
              <w:r w:rsidRPr="007672DC">
                <w:rPr>
                  <w:rStyle w:val="a5"/>
                </w:rPr>
                <w:t>info@creditwest.ua</w:t>
              </w:r>
            </w:hyperlink>
          </w:p>
          <w:p w:rsidR="00682349" w:rsidRDefault="00682349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Поштова адреса: </w:t>
            </w:r>
            <w:r w:rsidRPr="00861B70">
              <w:rPr>
                <w:color w:val="000000"/>
              </w:rPr>
              <w:t>Україна, 01030, м. Київ, вул. Леонтовича, 4, літера «А, A1»</w:t>
            </w:r>
          </w:p>
          <w:p w:rsidR="00682349" w:rsidRDefault="00682349" w:rsidP="00682349">
            <w:pPr>
              <w:pStyle w:val="rvps2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 xml:space="preserve">Зворотній зв’язок: </w:t>
            </w:r>
            <w:hyperlink r:id="rId7" w:history="1">
              <w:r>
                <w:rPr>
                  <w:rStyle w:val="a5"/>
                </w:rPr>
                <w:t>https://www.creditwest.ua/uk/contact-us/feedback/</w:t>
              </w:r>
            </w:hyperlink>
          </w:p>
          <w:p w:rsidR="00682349" w:rsidRDefault="00682349" w:rsidP="00682349">
            <w:pPr>
              <w:pStyle w:val="rvps2"/>
              <w:shd w:val="clear" w:color="auto" w:fill="FFFFFF"/>
              <w:spacing w:before="0" w:beforeAutospacing="0" w:after="0" w:afterAutospacing="0"/>
            </w:pPr>
            <w:r>
              <w:t>Анонімне звернення:</w:t>
            </w:r>
          </w:p>
          <w:p w:rsidR="00682349" w:rsidRPr="00A35B75" w:rsidRDefault="003F4021" w:rsidP="00682349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8" w:history="1">
              <w:r w:rsidR="00682349">
                <w:rPr>
                  <w:rStyle w:val="a5"/>
                </w:rPr>
                <w:t>https://www.creditwest.ua/uk/contact-us/compliance/</w:t>
              </w:r>
            </w:hyperlink>
          </w:p>
        </w:tc>
      </w:tr>
      <w:tr w:rsidR="0037283C" w:rsidTr="00CE3B99">
        <w:tc>
          <w:tcPr>
            <w:tcW w:w="3227" w:type="dxa"/>
            <w:gridSpan w:val="2"/>
          </w:tcPr>
          <w:p w:rsidR="0037283C" w:rsidRPr="00FF0A44" w:rsidRDefault="0037283C" w:rsidP="000831E2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FF0A44">
              <w:t>найменування особи, яка надає посередницькі послуги (за наявності);</w:t>
            </w:r>
          </w:p>
        </w:tc>
        <w:tc>
          <w:tcPr>
            <w:tcW w:w="6911" w:type="dxa"/>
            <w:gridSpan w:val="2"/>
          </w:tcPr>
          <w:p w:rsidR="0037283C" w:rsidRPr="00FF0A44" w:rsidRDefault="00CE3B99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FF0A44">
              <w:t>В</w:t>
            </w:r>
            <w:r w:rsidR="00861B70" w:rsidRPr="00FF0A44">
              <w:t>ідсутня</w:t>
            </w:r>
          </w:p>
        </w:tc>
      </w:tr>
      <w:tr w:rsidR="0037283C" w:rsidTr="00CE3B99">
        <w:tc>
          <w:tcPr>
            <w:tcW w:w="3227" w:type="dxa"/>
            <w:gridSpan w:val="2"/>
          </w:tcPr>
          <w:p w:rsidR="0037283C" w:rsidRPr="00FF0A44" w:rsidRDefault="0037283C" w:rsidP="000831E2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FF0A44">
              <w:t>відомості про державну реєстрацію</w:t>
            </w:r>
          </w:p>
        </w:tc>
        <w:tc>
          <w:tcPr>
            <w:tcW w:w="6911" w:type="dxa"/>
            <w:gridSpan w:val="2"/>
          </w:tcPr>
          <w:p w:rsidR="00F969B9" w:rsidRPr="00FF0A44" w:rsidRDefault="00F969B9" w:rsidP="00F969B9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FF0A44">
              <w:t xml:space="preserve">Дата проведення державної реєстрації 27.01.2009, згідно Свідоцтво про державну реєстрацію Серія А01 №768199 від 11.01.2011 </w:t>
            </w:r>
            <w:hyperlink r:id="rId9" w:history="1">
              <w:r w:rsidR="00DF41B9">
                <w:rPr>
                  <w:rStyle w:val="a5"/>
                </w:rPr>
                <w:t>https://www.creditwest.ua/upload/iblock/092/0922c354d2a5c64decfc1d09b2d1a374.jpg</w:t>
              </w:r>
            </w:hyperlink>
          </w:p>
        </w:tc>
      </w:tr>
      <w:tr w:rsidR="0037283C" w:rsidTr="00CE3B99">
        <w:tc>
          <w:tcPr>
            <w:tcW w:w="3227" w:type="dxa"/>
            <w:gridSpan w:val="2"/>
          </w:tcPr>
          <w:p w:rsidR="0037283C" w:rsidRPr="00FF0A44" w:rsidRDefault="0037283C" w:rsidP="000831E2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FF0A44">
              <w:t>інформаці</w:t>
            </w:r>
            <w:r w:rsidR="000831E2" w:rsidRPr="00FF0A44">
              <w:t>я</w:t>
            </w:r>
            <w:r w:rsidRPr="00FF0A44">
              <w:t xml:space="preserve"> щодо включення до </w:t>
            </w:r>
            <w:r w:rsidR="00A35B75" w:rsidRPr="00FF0A44">
              <w:t>Державного реєстру банків</w:t>
            </w:r>
          </w:p>
        </w:tc>
        <w:tc>
          <w:tcPr>
            <w:tcW w:w="6911" w:type="dxa"/>
            <w:gridSpan w:val="2"/>
          </w:tcPr>
          <w:p w:rsidR="00C8116D" w:rsidRPr="00FF0A44" w:rsidRDefault="00C8116D" w:rsidP="00C8116D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FF0A44">
              <w:t xml:space="preserve">Внесено до Державного реєстру банків </w:t>
            </w:r>
          </w:p>
          <w:p w:rsidR="00861B70" w:rsidRPr="00FF0A44" w:rsidRDefault="00C8116D" w:rsidP="00682349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FF0A44">
              <w:t xml:space="preserve">04 жовтня 2006 р. за номером </w:t>
            </w:r>
            <w:r w:rsidR="00F969B9" w:rsidRPr="00FF0A44">
              <w:t xml:space="preserve">311, </w:t>
            </w:r>
            <w:r w:rsidRPr="00FF0A44">
              <w:t xml:space="preserve">згідно </w:t>
            </w:r>
            <w:r w:rsidR="00861B70" w:rsidRPr="00FF0A44">
              <w:t>Свідоцтв</w:t>
            </w:r>
            <w:r w:rsidRPr="00FF0A44">
              <w:t>а</w:t>
            </w:r>
            <w:r w:rsidR="00861B70" w:rsidRPr="00FF0A44">
              <w:t xml:space="preserve"> про реєстрацію </w:t>
            </w:r>
            <w:r w:rsidRPr="00FF0A44">
              <w:t>видан</w:t>
            </w:r>
            <w:r w:rsidR="00682349" w:rsidRPr="00FF0A44">
              <w:t>ого</w:t>
            </w:r>
            <w:r w:rsidRPr="00FF0A44">
              <w:t xml:space="preserve"> Національним Банком України </w:t>
            </w:r>
            <w:r w:rsidR="00861B70" w:rsidRPr="00FF0A44">
              <w:t xml:space="preserve">за №0000538 </w:t>
            </w:r>
            <w:hyperlink r:id="rId10" w:history="1">
              <w:r w:rsidR="00DF41B9">
                <w:rPr>
                  <w:rStyle w:val="a5"/>
                </w:rPr>
                <w:t>https://www.creditwest.ua/uk/about-us/statutory-documents/</w:t>
              </w:r>
            </w:hyperlink>
          </w:p>
        </w:tc>
      </w:tr>
      <w:tr w:rsidR="0037283C" w:rsidTr="00CE3B99">
        <w:tc>
          <w:tcPr>
            <w:tcW w:w="3227" w:type="dxa"/>
            <w:gridSpan w:val="2"/>
          </w:tcPr>
          <w:p w:rsidR="0037283C" w:rsidRPr="00FF0A44" w:rsidRDefault="0037283C" w:rsidP="00A35B75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FF0A44">
              <w:t xml:space="preserve">інформацію щодо наявності права на надання </w:t>
            </w:r>
            <w:r w:rsidR="00A35B75" w:rsidRPr="00FF0A44">
              <w:t>фінансової послуги</w:t>
            </w:r>
          </w:p>
        </w:tc>
        <w:tc>
          <w:tcPr>
            <w:tcW w:w="6911" w:type="dxa"/>
            <w:gridSpan w:val="2"/>
          </w:tcPr>
          <w:p w:rsidR="0037283C" w:rsidRPr="00FF0A44" w:rsidRDefault="00C8116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FF0A44">
              <w:t>Банківська ліцензія №235 від 14.11.2011</w:t>
            </w:r>
          </w:p>
          <w:p w:rsidR="00C8116D" w:rsidRPr="00391EAD" w:rsidRDefault="00C8116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FF0A44">
              <w:t>Генеральна ліцензія на здійснення валютних операцій №235-3 від 04.11.2016</w:t>
            </w:r>
          </w:p>
          <w:p w:rsidR="003B1B07" w:rsidRPr="00391EAD" w:rsidRDefault="003F4021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hyperlink r:id="rId11" w:history="1">
              <w:r w:rsidR="003B1B07">
                <w:rPr>
                  <w:rStyle w:val="a5"/>
                </w:rPr>
                <w:t>https://www.creditwest.ua/uk/about-us/statutory-documents/</w:t>
              </w:r>
            </w:hyperlink>
          </w:p>
        </w:tc>
      </w:tr>
      <w:tr w:rsidR="0037283C" w:rsidTr="00CE3B99">
        <w:tc>
          <w:tcPr>
            <w:tcW w:w="3227" w:type="dxa"/>
            <w:gridSpan w:val="2"/>
          </w:tcPr>
          <w:p w:rsidR="0037283C" w:rsidRPr="00FF0A44" w:rsidRDefault="0037283C" w:rsidP="00A35B75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FF0A44">
              <w:t>контактн</w:t>
            </w:r>
            <w:r w:rsidR="00A35B75" w:rsidRPr="00FF0A44">
              <w:t>а</w:t>
            </w:r>
            <w:r w:rsidRPr="00FF0A44">
              <w:t xml:space="preserve"> інформацію органу, який здійснює державне регулювання щодо діяльності особи, </w:t>
            </w:r>
            <w:r w:rsidR="00A35B75" w:rsidRPr="00FF0A44">
              <w:t>яка надає фінансові послуги</w:t>
            </w:r>
          </w:p>
        </w:tc>
        <w:tc>
          <w:tcPr>
            <w:tcW w:w="6911" w:type="dxa"/>
            <w:gridSpan w:val="2"/>
          </w:tcPr>
          <w:p w:rsidR="006E193D" w:rsidRPr="00FF0A44" w:rsidRDefault="006E193D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FF0A44">
              <w:t>Національний Банк України</w:t>
            </w:r>
          </w:p>
          <w:p w:rsidR="0037283C" w:rsidRPr="00FF0A44" w:rsidRDefault="00C8116D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FF0A44">
              <w:t>Телефон:(044) 253-01-80</w:t>
            </w:r>
          </w:p>
          <w:p w:rsidR="006E193D" w:rsidRPr="00FF0A44" w:rsidRDefault="003F4021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hyperlink r:id="rId12" w:tgtFrame="_blank" w:history="1">
              <w:r w:rsidR="006E193D" w:rsidRPr="00FF0A44">
                <w:rPr>
                  <w:rStyle w:val="a5"/>
                  <w:color w:val="auto"/>
                </w:rPr>
                <w:t>www.bank.gov.ua</w:t>
              </w:r>
            </w:hyperlink>
          </w:p>
        </w:tc>
      </w:tr>
      <w:tr w:rsidR="006E193D" w:rsidTr="00DF41B9">
        <w:tc>
          <w:tcPr>
            <w:tcW w:w="10138" w:type="dxa"/>
            <w:gridSpan w:val="4"/>
          </w:tcPr>
          <w:p w:rsidR="006E193D" w:rsidRPr="00FF0A44" w:rsidRDefault="006E193D" w:rsidP="000831E2">
            <w:pPr>
              <w:pStyle w:val="a4"/>
              <w:ind w:left="360"/>
              <w:rPr>
                <w:caps/>
              </w:rPr>
            </w:pPr>
          </w:p>
          <w:p w:rsidR="006E193D" w:rsidRPr="00FF0A44" w:rsidRDefault="006E193D" w:rsidP="000831E2">
            <w:pPr>
              <w:pStyle w:val="a4"/>
              <w:numPr>
                <w:ilvl w:val="0"/>
                <w:numId w:val="2"/>
              </w:numPr>
              <w:rPr>
                <w:b/>
                <w:caps/>
              </w:rPr>
            </w:pPr>
            <w:r w:rsidRPr="00FF0A44">
              <w:rPr>
                <w:b/>
                <w:caps/>
              </w:rPr>
              <w:t xml:space="preserve">ІНФОРМАЦІЯ ПРО ФІНАНСОВУ ПОСЛУГУ </w:t>
            </w:r>
          </w:p>
          <w:p w:rsidR="006E193D" w:rsidRPr="00FF0A44" w:rsidRDefault="006E193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FF0A44">
              <w:rPr>
                <w:i/>
                <w:sz w:val="20"/>
                <w:szCs w:val="20"/>
              </w:rPr>
              <w:t>(загальну суму зборів, платежів та інших витрат, які повинен сплатити клієнт, включно з податками, або якщо конкретний розмір не може бути визначений - порядок визначення таких витрат)</w:t>
            </w:r>
          </w:p>
        </w:tc>
      </w:tr>
      <w:tr w:rsidR="006F5FF3" w:rsidTr="00A82F45">
        <w:tc>
          <w:tcPr>
            <w:tcW w:w="3256" w:type="dxa"/>
            <w:gridSpan w:val="3"/>
          </w:tcPr>
          <w:p w:rsidR="006F5FF3" w:rsidRPr="00CE3B99" w:rsidRDefault="006F5FF3" w:rsidP="000831E2">
            <w:pPr>
              <w:pStyle w:val="a4"/>
              <w:ind w:left="360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CE3B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Pr="00CE3B99">
              <w:rPr>
                <w:rFonts w:ascii="Times New Roman" w:hAnsi="Times New Roman" w:cs="Times New Roman"/>
                <w:sz w:val="24"/>
                <w:szCs w:val="24"/>
              </w:rPr>
              <w:t>айменування</w:t>
            </w:r>
            <w:proofErr w:type="spellEnd"/>
            <w:r w:rsidR="00CE3B99" w:rsidRPr="00CE3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B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6882" w:type="dxa"/>
          </w:tcPr>
          <w:p w:rsidR="00CE3B99" w:rsidRPr="00391EAD" w:rsidRDefault="002B373A" w:rsidP="002B373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ДЕПОЗИТНІ </w:t>
            </w:r>
            <w:r w:rsidR="00A82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ПРОДУКТИ ДЛЯ ЮРИД</w:t>
            </w:r>
            <w:r w:rsidRPr="00C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ИЧНИХ ОСІБ</w:t>
            </w:r>
            <w:r w:rsidRPr="00CE3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F5FF3" w:rsidRPr="00A06E20" w:rsidRDefault="002B373A" w:rsidP="002B37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3B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Класичний, Клас</w:t>
            </w:r>
            <w:r w:rsidR="00A82F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ичний Плюс, Багатій</w:t>
            </w:r>
          </w:p>
          <w:p w:rsidR="002B373A" w:rsidRPr="00CE3B99" w:rsidRDefault="002B373A" w:rsidP="002B373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0831E2" w:rsidTr="00A82F45">
        <w:tc>
          <w:tcPr>
            <w:tcW w:w="3256" w:type="dxa"/>
            <w:gridSpan w:val="3"/>
          </w:tcPr>
          <w:p w:rsidR="000831E2" w:rsidRPr="00CE3B99" w:rsidRDefault="002B373A" w:rsidP="00A35B75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CE3B99">
              <w:t>відсоткова / депозитна ставка, річних</w:t>
            </w:r>
          </w:p>
        </w:tc>
        <w:tc>
          <w:tcPr>
            <w:tcW w:w="6882" w:type="dxa"/>
          </w:tcPr>
          <w:p w:rsidR="000831E2" w:rsidRPr="00A82F45" w:rsidRDefault="00A82F45" w:rsidP="00391EA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r>
              <w:t>Встановлюються індивідуально в залежності від валюти, терміну та суми депозиту, погоджуються з клієнтом та відображаються в депозитних договорах підписаних з кожним клієнтом окремо.</w:t>
            </w:r>
          </w:p>
        </w:tc>
      </w:tr>
      <w:tr w:rsidR="000831E2" w:rsidTr="00A82F45">
        <w:tc>
          <w:tcPr>
            <w:tcW w:w="3256" w:type="dxa"/>
            <w:gridSpan w:val="3"/>
          </w:tcPr>
          <w:p w:rsidR="000831E2" w:rsidRPr="00FF0A44" w:rsidRDefault="006F5FF3" w:rsidP="006F5FF3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FF0A44">
              <w:t>податки, збори</w:t>
            </w:r>
          </w:p>
        </w:tc>
        <w:tc>
          <w:tcPr>
            <w:tcW w:w="6882" w:type="dxa"/>
          </w:tcPr>
          <w:p w:rsidR="000831E2" w:rsidRPr="00FF0A44" w:rsidRDefault="00A82F45" w:rsidP="002B373A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t>Не передбачені</w:t>
            </w:r>
          </w:p>
        </w:tc>
      </w:tr>
      <w:tr w:rsidR="006E193D" w:rsidTr="00DF41B9">
        <w:tc>
          <w:tcPr>
            <w:tcW w:w="10138" w:type="dxa"/>
            <w:gridSpan w:val="4"/>
          </w:tcPr>
          <w:p w:rsidR="006E193D" w:rsidRDefault="006E193D" w:rsidP="006E193D">
            <w:pPr>
              <w:pStyle w:val="a4"/>
              <w:ind w:left="360"/>
              <w:rPr>
                <w:caps/>
              </w:rPr>
            </w:pPr>
          </w:p>
          <w:p w:rsidR="006E193D" w:rsidRPr="006E193D" w:rsidRDefault="006E193D" w:rsidP="006E193D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caps/>
                <w:sz w:val="22"/>
                <w:szCs w:val="22"/>
                <w:lang w:eastAsia="en-US"/>
              </w:rPr>
            </w:pPr>
            <w:r w:rsidRPr="006E193D">
              <w:rPr>
                <w:rFonts w:asciiTheme="minorHAnsi" w:eastAsiaTheme="minorHAnsi" w:hAnsiTheme="minorHAnsi" w:cstheme="minorBidi"/>
                <w:b/>
                <w:caps/>
                <w:sz w:val="22"/>
                <w:szCs w:val="22"/>
                <w:lang w:eastAsia="en-US"/>
              </w:rPr>
              <w:t>договір про надання фінансової послуги:</w:t>
            </w:r>
          </w:p>
        </w:tc>
      </w:tr>
      <w:tr w:rsidR="0037283C" w:rsidTr="00A82F45">
        <w:tc>
          <w:tcPr>
            <w:tcW w:w="3256" w:type="dxa"/>
            <w:gridSpan w:val="3"/>
          </w:tcPr>
          <w:p w:rsidR="0037283C" w:rsidRPr="00427342" w:rsidRDefault="0037283C" w:rsidP="00A35B75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7342">
              <w:rPr>
                <w:color w:val="000000"/>
              </w:rPr>
              <w:t xml:space="preserve">наявність у клієнта права на відмову від </w:t>
            </w:r>
            <w:r w:rsidRPr="00427342">
              <w:rPr>
                <w:color w:val="000000"/>
              </w:rPr>
              <w:lastRenderedPageBreak/>
              <w:t>договору про надання фінансових послуг;</w:t>
            </w:r>
          </w:p>
        </w:tc>
        <w:tc>
          <w:tcPr>
            <w:tcW w:w="6882" w:type="dxa"/>
          </w:tcPr>
          <w:p w:rsidR="00FF0A44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 банківськими вкладами на вимогу клієнт має право відмовитися від договору. </w:t>
            </w:r>
          </w:p>
          <w:p w:rsidR="0037283C" w:rsidRPr="00D74A5E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>
              <w:rPr>
                <w:color w:val="000000"/>
              </w:rPr>
              <w:lastRenderedPageBreak/>
              <w:t>За строковими банківськими вкладами</w:t>
            </w:r>
            <w:r w:rsidR="00100645" w:rsidRPr="00100645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кл</w:t>
            </w:r>
            <w:proofErr w:type="spellEnd"/>
            <w:r>
              <w:rPr>
                <w:color w:val="000000"/>
              </w:rPr>
              <w:t>ієн</w:t>
            </w:r>
            <w:r>
              <w:rPr>
                <w:color w:val="000000"/>
                <w:lang w:val="ru-RU"/>
              </w:rPr>
              <w:t xml:space="preserve">т не </w:t>
            </w:r>
            <w:proofErr w:type="spellStart"/>
            <w:r>
              <w:rPr>
                <w:color w:val="000000"/>
                <w:lang w:val="ru-RU"/>
              </w:rPr>
              <w:t>має</w:t>
            </w:r>
            <w:proofErr w:type="spellEnd"/>
            <w:r>
              <w:rPr>
                <w:color w:val="000000"/>
                <w:lang w:val="ru-RU"/>
              </w:rPr>
              <w:t xml:space="preserve"> права </w:t>
            </w:r>
            <w:proofErr w:type="spellStart"/>
            <w:r>
              <w:rPr>
                <w:color w:val="000000"/>
                <w:lang w:val="ru-RU"/>
              </w:rPr>
              <w:t>відмовитися</w:t>
            </w:r>
            <w:proofErr w:type="spellEnd"/>
            <w:r w:rsidR="00100645" w:rsidRPr="00100645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</w:t>
            </w:r>
            <w:proofErr w:type="spellEnd"/>
            <w:r>
              <w:rPr>
                <w:color w:val="000000"/>
                <w:lang w:val="ru-RU"/>
              </w:rPr>
              <w:t xml:space="preserve"> договору до </w:t>
            </w:r>
            <w:proofErr w:type="spellStart"/>
            <w:r>
              <w:rPr>
                <w:color w:val="000000"/>
                <w:lang w:val="ru-RU"/>
              </w:rPr>
              <w:t>завершення</w:t>
            </w:r>
            <w:proofErr w:type="spellEnd"/>
            <w:r>
              <w:rPr>
                <w:color w:val="000000"/>
                <w:lang w:val="ru-RU"/>
              </w:rPr>
              <w:t xml:space="preserve"> строку </w:t>
            </w:r>
            <w:proofErr w:type="spellStart"/>
            <w:r>
              <w:rPr>
                <w:color w:val="000000"/>
                <w:lang w:val="ru-RU"/>
              </w:rPr>
              <w:t>розміщення</w:t>
            </w:r>
            <w:proofErr w:type="spellEnd"/>
            <w:r>
              <w:rPr>
                <w:color w:val="000000"/>
                <w:lang w:val="ru-RU"/>
              </w:rPr>
              <w:t xml:space="preserve"> вкладу.</w:t>
            </w:r>
          </w:p>
        </w:tc>
      </w:tr>
      <w:tr w:rsidR="0037283C" w:rsidTr="00A82F45">
        <w:tc>
          <w:tcPr>
            <w:tcW w:w="3256" w:type="dxa"/>
            <w:gridSpan w:val="3"/>
          </w:tcPr>
          <w:p w:rsidR="0037283C" w:rsidRPr="00427342" w:rsidRDefault="0037283C" w:rsidP="00A35B75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7342">
              <w:rPr>
                <w:color w:val="000000"/>
              </w:rPr>
              <w:lastRenderedPageBreak/>
              <w:t>строк, протягом якого клієнтом може бути використано право на відмову від договору, а також інші умови використання права на відмову від договору;</w:t>
            </w:r>
          </w:p>
        </w:tc>
        <w:tc>
          <w:tcPr>
            <w:tcW w:w="6882" w:type="dxa"/>
          </w:tcPr>
          <w:p w:rsidR="00FF0A44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 банківськими вкладами на вимогу клієнт має право відмовитися від договору протягом всього строку дії договору, подавши заяву про розірвання договору та повернення усієї суми банківського вкладу. </w:t>
            </w:r>
          </w:p>
          <w:p w:rsidR="0037283C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</w:rPr>
              <w:t>За строковими банківськими вкладами</w:t>
            </w:r>
            <w:r w:rsidR="00100645" w:rsidRPr="00100645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кл</w:t>
            </w:r>
            <w:proofErr w:type="spellEnd"/>
            <w:r>
              <w:rPr>
                <w:color w:val="000000"/>
              </w:rPr>
              <w:t>ієн</w:t>
            </w:r>
            <w:r>
              <w:rPr>
                <w:color w:val="000000"/>
                <w:lang w:val="ru-RU"/>
              </w:rPr>
              <w:t xml:space="preserve">т не </w:t>
            </w:r>
            <w:proofErr w:type="spellStart"/>
            <w:r>
              <w:rPr>
                <w:color w:val="000000"/>
                <w:lang w:val="ru-RU"/>
              </w:rPr>
              <w:t>має</w:t>
            </w:r>
            <w:proofErr w:type="spellEnd"/>
            <w:r>
              <w:rPr>
                <w:color w:val="000000"/>
                <w:lang w:val="ru-RU"/>
              </w:rPr>
              <w:t xml:space="preserve"> права </w:t>
            </w:r>
            <w:proofErr w:type="spellStart"/>
            <w:r>
              <w:rPr>
                <w:color w:val="000000"/>
                <w:lang w:val="ru-RU"/>
              </w:rPr>
              <w:t>відмовитися</w:t>
            </w:r>
            <w:proofErr w:type="spellEnd"/>
            <w:r w:rsidR="00100645" w:rsidRPr="00100645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</w:t>
            </w:r>
            <w:proofErr w:type="spellEnd"/>
            <w:r>
              <w:rPr>
                <w:color w:val="000000"/>
                <w:lang w:val="ru-RU"/>
              </w:rPr>
              <w:t xml:space="preserve"> договору до </w:t>
            </w:r>
            <w:proofErr w:type="spellStart"/>
            <w:r>
              <w:rPr>
                <w:color w:val="000000"/>
                <w:lang w:val="ru-RU"/>
              </w:rPr>
              <w:t>завершення</w:t>
            </w:r>
            <w:proofErr w:type="spellEnd"/>
            <w:r>
              <w:rPr>
                <w:color w:val="000000"/>
                <w:lang w:val="ru-RU"/>
              </w:rPr>
              <w:t xml:space="preserve"> строку </w:t>
            </w:r>
            <w:proofErr w:type="spellStart"/>
            <w:r>
              <w:rPr>
                <w:color w:val="000000"/>
                <w:lang w:val="ru-RU"/>
              </w:rPr>
              <w:t>розміщення</w:t>
            </w:r>
            <w:proofErr w:type="spellEnd"/>
            <w:r>
              <w:rPr>
                <w:color w:val="000000"/>
                <w:lang w:val="ru-RU"/>
              </w:rPr>
              <w:t xml:space="preserve"> вкладу.</w:t>
            </w:r>
          </w:p>
          <w:p w:rsidR="003F4021" w:rsidRPr="00D74A5E" w:rsidRDefault="003F4021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</w:tr>
      <w:tr w:rsidR="0037283C" w:rsidTr="00A82F45">
        <w:tc>
          <w:tcPr>
            <w:tcW w:w="3256" w:type="dxa"/>
            <w:gridSpan w:val="3"/>
          </w:tcPr>
          <w:p w:rsidR="0037283C" w:rsidRPr="00427342" w:rsidRDefault="0037283C" w:rsidP="00A35B75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7342">
              <w:rPr>
                <w:color w:val="000000"/>
              </w:rPr>
              <w:t>мінімальний строк дії договору (якщо застосовується);</w:t>
            </w:r>
          </w:p>
        </w:tc>
        <w:tc>
          <w:tcPr>
            <w:tcW w:w="6882" w:type="dxa"/>
          </w:tcPr>
          <w:p w:rsidR="00FF0A44" w:rsidRPr="00422515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За банківськими вкладами на вимогу мінімальний строк дії договору не застосовується.</w:t>
            </w:r>
            <w:r w:rsidR="00CE3B99" w:rsidRPr="00CE3B99">
              <w:rPr>
                <w:color w:val="000000"/>
                <w:lang w:val="ru-RU"/>
              </w:rPr>
              <w:t xml:space="preserve"> </w:t>
            </w:r>
            <w:r w:rsidR="003F4021">
              <w:rPr>
                <w:color w:val="000000"/>
                <w:lang w:val="ru-RU"/>
              </w:rPr>
              <w:t>М</w:t>
            </w:r>
            <w:proofErr w:type="spellStart"/>
            <w:r w:rsidR="003F4021">
              <w:rPr>
                <w:color w:val="000000"/>
              </w:rPr>
              <w:t>інімальний</w:t>
            </w:r>
            <w:proofErr w:type="spellEnd"/>
            <w:r w:rsidR="003F4021">
              <w:rPr>
                <w:color w:val="000000"/>
              </w:rPr>
              <w:t xml:space="preserve"> термін</w:t>
            </w:r>
            <w:bookmarkStart w:id="0" w:name="_GoBack"/>
            <w:bookmarkEnd w:id="0"/>
            <w:r w:rsidR="003F4021">
              <w:rPr>
                <w:color w:val="000000"/>
              </w:rPr>
              <w:t xml:space="preserve"> дії договору за строковими депозитами 14 днів. Депозити</w:t>
            </w:r>
            <w:r>
              <w:rPr>
                <w:color w:val="000000"/>
              </w:rPr>
              <w:t xml:space="preserve">, що розміщуються на індивідуальних умовах, строк дії договору визначається за домовленістю сторін. </w:t>
            </w:r>
          </w:p>
          <w:p w:rsidR="0037283C" w:rsidRPr="00D74A5E" w:rsidRDefault="0037283C" w:rsidP="002B373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</w:tr>
      <w:tr w:rsidR="0037283C" w:rsidTr="00A82F45">
        <w:tc>
          <w:tcPr>
            <w:tcW w:w="3256" w:type="dxa"/>
            <w:gridSpan w:val="3"/>
          </w:tcPr>
          <w:p w:rsidR="0037283C" w:rsidRPr="00427342" w:rsidRDefault="0037283C" w:rsidP="00A35B75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7342">
              <w:rPr>
                <w:color w:val="000000"/>
              </w:rPr>
              <w:t>наявність у клієнта права розірвати чи припинити договір, права дострокового виконання договору, а також наслідки таких дій;</w:t>
            </w:r>
          </w:p>
        </w:tc>
        <w:tc>
          <w:tcPr>
            <w:tcW w:w="6882" w:type="dxa"/>
          </w:tcPr>
          <w:p w:rsidR="00FF0A44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 банківськими вкладами на вимогу клієнт має право достроково розірвати/припинити договір протягом всього строку дії договору, подавши заяву про розірвання договору та повернення усієї суми банківського вкладу. Внаслідок дострокового розірвання/припинення договору банком здійснюється перерахунок процентів, нарахованих на банківський вклад, в розмірі, передбаченому договором банківського вкладу. </w:t>
            </w:r>
          </w:p>
          <w:p w:rsidR="00FF0A44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F0A44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</w:rPr>
              <w:t>За строковими банківськими вкладами</w:t>
            </w:r>
            <w:r w:rsidR="00CE3B99" w:rsidRPr="00CE3B99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кл</w:t>
            </w:r>
            <w:proofErr w:type="spellEnd"/>
            <w:r>
              <w:rPr>
                <w:color w:val="000000"/>
              </w:rPr>
              <w:t>ієн</w:t>
            </w:r>
            <w:r>
              <w:rPr>
                <w:color w:val="000000"/>
                <w:lang w:val="ru-RU"/>
              </w:rPr>
              <w:t xml:space="preserve">т не </w:t>
            </w:r>
            <w:proofErr w:type="spellStart"/>
            <w:r>
              <w:rPr>
                <w:color w:val="000000"/>
                <w:lang w:val="ru-RU"/>
              </w:rPr>
              <w:t>має</w:t>
            </w:r>
            <w:proofErr w:type="spellEnd"/>
            <w:r>
              <w:rPr>
                <w:color w:val="000000"/>
                <w:lang w:val="ru-RU"/>
              </w:rPr>
              <w:t xml:space="preserve"> права </w:t>
            </w:r>
            <w:proofErr w:type="spellStart"/>
            <w:r>
              <w:rPr>
                <w:color w:val="000000"/>
                <w:lang w:val="ru-RU"/>
              </w:rPr>
              <w:t>достроково</w:t>
            </w:r>
            <w:proofErr w:type="spellEnd"/>
            <w:r w:rsidR="00CE3B99" w:rsidRPr="00CE3B99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розірвати</w:t>
            </w:r>
            <w:proofErr w:type="spellEnd"/>
            <w:r>
              <w:rPr>
                <w:color w:val="000000"/>
                <w:lang w:val="ru-RU"/>
              </w:rPr>
              <w:t>/</w:t>
            </w:r>
            <w:proofErr w:type="spellStart"/>
            <w:r>
              <w:rPr>
                <w:color w:val="000000"/>
                <w:lang w:val="ru-RU"/>
              </w:rPr>
              <w:t>припинити</w:t>
            </w:r>
            <w:proofErr w:type="spellEnd"/>
            <w:r w:rsidR="00CE3B99" w:rsidRPr="00CE3B99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договір</w:t>
            </w:r>
            <w:proofErr w:type="spellEnd"/>
            <w:r>
              <w:rPr>
                <w:color w:val="000000"/>
                <w:lang w:val="ru-RU"/>
              </w:rPr>
              <w:t xml:space="preserve"> до </w:t>
            </w:r>
            <w:proofErr w:type="spellStart"/>
            <w:r>
              <w:rPr>
                <w:color w:val="000000"/>
                <w:lang w:val="ru-RU"/>
              </w:rPr>
              <w:t>завершення</w:t>
            </w:r>
            <w:proofErr w:type="spellEnd"/>
            <w:r>
              <w:rPr>
                <w:color w:val="000000"/>
                <w:lang w:val="ru-RU"/>
              </w:rPr>
              <w:t xml:space="preserve"> строку </w:t>
            </w:r>
            <w:proofErr w:type="spellStart"/>
            <w:r>
              <w:rPr>
                <w:color w:val="000000"/>
                <w:lang w:val="ru-RU"/>
              </w:rPr>
              <w:t>розміщення</w:t>
            </w:r>
            <w:proofErr w:type="spellEnd"/>
            <w:r>
              <w:rPr>
                <w:color w:val="000000"/>
                <w:lang w:val="ru-RU"/>
              </w:rPr>
              <w:t xml:space="preserve"> вкладу.</w:t>
            </w:r>
          </w:p>
          <w:p w:rsidR="00FF0A44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  <w:p w:rsidR="002B373A" w:rsidRPr="00D74A5E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Дострокове виконання договору клієнтом для договорів банківського вкладу не застосовується.  </w:t>
            </w:r>
          </w:p>
          <w:p w:rsidR="0037283C" w:rsidRPr="00D74A5E" w:rsidRDefault="0037283C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</w:tr>
      <w:tr w:rsidR="0037283C" w:rsidTr="00A82F45">
        <w:tc>
          <w:tcPr>
            <w:tcW w:w="3256" w:type="dxa"/>
            <w:gridSpan w:val="3"/>
          </w:tcPr>
          <w:p w:rsidR="0037283C" w:rsidRPr="00427342" w:rsidRDefault="0037283C" w:rsidP="00A35B75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7342">
              <w:rPr>
                <w:color w:val="000000"/>
              </w:rPr>
              <w:t>порядок внесення змін та доповнень до договору;</w:t>
            </w:r>
          </w:p>
        </w:tc>
        <w:tc>
          <w:tcPr>
            <w:tcW w:w="6882" w:type="dxa"/>
          </w:tcPr>
          <w:p w:rsidR="00FF0A44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66AA6">
              <w:rPr>
                <w:color w:val="000000"/>
              </w:rPr>
              <w:t>Банк має право вносити зміни до договору,</w:t>
            </w:r>
            <w:r>
              <w:rPr>
                <w:color w:val="000000"/>
              </w:rPr>
              <w:t xml:space="preserve"> крім зміни процентної ставки на вклад,</w:t>
            </w:r>
            <w:r w:rsidRPr="00C66AA6">
              <w:rPr>
                <w:color w:val="000000"/>
              </w:rPr>
              <w:t xml:space="preserve"> повідомивши клієнта не пізніше, ніж на 30 календарних днів до дати набрання чинності змінами. </w:t>
            </w:r>
          </w:p>
          <w:p w:rsidR="00FF0A44" w:rsidRPr="00C31849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Таке </w:t>
            </w:r>
            <w:r w:rsidRPr="00C31849">
              <w:rPr>
                <w:color w:val="000000"/>
              </w:rPr>
              <w:t xml:space="preserve">повідомлення направляється </w:t>
            </w:r>
            <w:r w:rsidRPr="00C31849">
              <w:rPr>
                <w:szCs w:val="28"/>
              </w:rPr>
              <w:t>клієнту банком у спосіб, що дає змогу встановити дату відправлення такого повідомлення.</w:t>
            </w:r>
          </w:p>
          <w:p w:rsidR="00FF0A44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31849">
              <w:rPr>
                <w:color w:val="000000"/>
              </w:rPr>
              <w:t>У випад</w:t>
            </w:r>
            <w:r w:rsidRPr="00C66AA6">
              <w:rPr>
                <w:color w:val="000000"/>
              </w:rPr>
              <w:t xml:space="preserve">ку незгоди із змінами клієнт має право до дати, з якої вони застосовуються, розірвати договір </w:t>
            </w:r>
            <w:r w:rsidRPr="00C66AA6">
              <w:t>без сплати додаткової комісійної винагороди за його розірвання.</w:t>
            </w:r>
          </w:p>
          <w:p w:rsidR="00FF0A44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Зміни до договору вступають в силу, якщо до дати набрання ними чинності клієнт не повідомив банк про розірвання договору або не звернувся до суду. </w:t>
            </w:r>
          </w:p>
          <w:p w:rsidR="0037283C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Зміна процентної ставки на вклад здійснюється виключно шляхом підписання відповідної угоди/договору між </w:t>
            </w:r>
            <w:r>
              <w:rPr>
                <w:color w:val="000000"/>
                <w:lang w:val="ru-RU"/>
              </w:rPr>
              <w:t xml:space="preserve">банком та </w:t>
            </w:r>
            <w:r>
              <w:rPr>
                <w:color w:val="000000"/>
              </w:rPr>
              <w:t>вкладником</w:t>
            </w:r>
            <w:r>
              <w:rPr>
                <w:color w:val="000000"/>
                <w:lang w:val="ru-RU"/>
              </w:rPr>
              <w:t>.</w:t>
            </w:r>
          </w:p>
          <w:p w:rsidR="003F4021" w:rsidRPr="00A35B75" w:rsidRDefault="003F4021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7283C" w:rsidTr="00A82F45">
        <w:tc>
          <w:tcPr>
            <w:tcW w:w="3256" w:type="dxa"/>
            <w:gridSpan w:val="3"/>
          </w:tcPr>
          <w:p w:rsidR="0037283C" w:rsidRPr="00427342" w:rsidRDefault="0037283C" w:rsidP="00A35B75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7342">
              <w:rPr>
                <w:color w:val="000000"/>
              </w:rPr>
              <w:t>неможливість збільшення фіксованої процентної ставки за договором без письмової згоди споживача фінансової послуги;</w:t>
            </w:r>
          </w:p>
        </w:tc>
        <w:tc>
          <w:tcPr>
            <w:tcW w:w="6882" w:type="dxa"/>
          </w:tcPr>
          <w:p w:rsidR="0037283C" w:rsidRPr="00A35B75" w:rsidRDefault="00FF0A44" w:rsidP="006238C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Для договір банківського вкладу (договорів про депозит) не застосовується.</w:t>
            </w:r>
          </w:p>
        </w:tc>
      </w:tr>
      <w:tr w:rsidR="006E193D" w:rsidTr="00DF41B9">
        <w:tc>
          <w:tcPr>
            <w:tcW w:w="10138" w:type="dxa"/>
            <w:gridSpan w:val="4"/>
          </w:tcPr>
          <w:p w:rsidR="006E193D" w:rsidRPr="006E193D" w:rsidRDefault="006E193D" w:rsidP="006E193D">
            <w:pPr>
              <w:pStyle w:val="rvps2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Theme="minorHAnsi" w:eastAsiaTheme="minorHAnsi" w:hAnsiTheme="minorHAnsi" w:cstheme="minorBidi"/>
                <w:b/>
                <w:caps/>
                <w:sz w:val="22"/>
                <w:szCs w:val="22"/>
                <w:lang w:eastAsia="en-US"/>
              </w:rPr>
            </w:pPr>
          </w:p>
          <w:p w:rsidR="006E193D" w:rsidRPr="006E193D" w:rsidRDefault="006E193D" w:rsidP="006E193D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caps/>
                <w:sz w:val="22"/>
                <w:szCs w:val="22"/>
                <w:lang w:eastAsia="en-US"/>
              </w:rPr>
            </w:pPr>
            <w:r w:rsidRPr="006E193D">
              <w:rPr>
                <w:rFonts w:asciiTheme="minorHAnsi" w:eastAsiaTheme="minorHAnsi" w:hAnsiTheme="minorHAnsi" w:cstheme="minorBidi"/>
                <w:b/>
                <w:caps/>
                <w:sz w:val="22"/>
                <w:szCs w:val="22"/>
                <w:lang w:eastAsia="en-US"/>
              </w:rPr>
              <w:t>механізми захисту прав споживача фінансової послугИ:</w:t>
            </w:r>
          </w:p>
        </w:tc>
      </w:tr>
      <w:tr w:rsidR="0037283C" w:rsidTr="00DF41B9">
        <w:tc>
          <w:tcPr>
            <w:tcW w:w="2737" w:type="dxa"/>
          </w:tcPr>
          <w:p w:rsidR="0037283C" w:rsidRPr="00D61499" w:rsidRDefault="0037283C" w:rsidP="00A35B75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61499">
              <w:rPr>
                <w:color w:val="000000"/>
              </w:rPr>
              <w:t>можливість та порядок позасудового розгляду скарг споживачів фінансових послуг;</w:t>
            </w:r>
          </w:p>
        </w:tc>
        <w:tc>
          <w:tcPr>
            <w:tcW w:w="7401" w:type="dxa"/>
            <w:gridSpan w:val="3"/>
          </w:tcPr>
          <w:p w:rsidR="00FF0A44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Скарги споживачів фінансових послуг розглядаються відповідно до Закону України «Про звернення громадян» та підзаконних актів та </w:t>
            </w:r>
            <w:r>
              <w:t>Інструкції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року № 348 .</w:t>
            </w:r>
          </w:p>
          <w:p w:rsidR="0037283C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Клієнт  має право </w:t>
            </w:r>
            <w:r>
              <w:t>подавати (надсилати) звернення, що стосуються діяльності банків, до Національного банку в разі, якщо банк не надав відповідь на звернення в установлений термін для розгляду звернень або отримана відповідь не задовільнила споживача.</w:t>
            </w:r>
          </w:p>
          <w:p w:rsidR="00100645" w:rsidRPr="00D74A5E" w:rsidRDefault="00100645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</w:tr>
      <w:tr w:rsidR="0037283C" w:rsidTr="00DF41B9">
        <w:tc>
          <w:tcPr>
            <w:tcW w:w="2737" w:type="dxa"/>
          </w:tcPr>
          <w:p w:rsidR="0037283C" w:rsidRPr="00D61499" w:rsidRDefault="0037283C" w:rsidP="00A35B75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61499">
              <w:rPr>
                <w:color w:val="000000"/>
              </w:rPr>
              <w:t>наявність гарантійних фондів чи компенсаційних схем, що застосовують</w:t>
            </w:r>
            <w:r w:rsidR="00A35B75">
              <w:rPr>
                <w:color w:val="000000"/>
              </w:rPr>
              <w:t>ся відповідно до законодавства</w:t>
            </w:r>
          </w:p>
        </w:tc>
        <w:tc>
          <w:tcPr>
            <w:tcW w:w="7401" w:type="dxa"/>
            <w:gridSpan w:val="3"/>
          </w:tcPr>
          <w:p w:rsidR="00FF0A44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Для фізичних осіб (в т.ч. фізичних осіб – підприємців) застосовується механізм гарантування вкладів фізичних осіб відповідно до Закону України «</w:t>
            </w:r>
            <w:r w:rsidRPr="00C31849">
              <w:rPr>
                <w:color w:val="000000"/>
              </w:rPr>
              <w:t>Про систему гарантування вкладів фізичних осіб</w:t>
            </w:r>
            <w:r>
              <w:rPr>
                <w:color w:val="000000"/>
              </w:rPr>
              <w:t>», з обмеженнями встановленими. вказаним Законом.</w:t>
            </w:r>
          </w:p>
          <w:p w:rsidR="00FF0A44" w:rsidRDefault="00FF0A44" w:rsidP="00FF0A4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інших клієнтів гарантійних фондів чи компенсаційних схем законодавством не передбачено.  </w:t>
            </w:r>
          </w:p>
          <w:p w:rsidR="0037283C" w:rsidRPr="00D74A5E" w:rsidRDefault="0037283C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</w:tr>
    </w:tbl>
    <w:p w:rsidR="004C38FB" w:rsidRDefault="003F4021" w:rsidP="000831E2">
      <w:pPr>
        <w:spacing w:after="0"/>
      </w:pPr>
    </w:p>
    <w:sectPr w:rsidR="004C38FB" w:rsidSect="00A35B7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0B7C"/>
    <w:multiLevelType w:val="hybridMultilevel"/>
    <w:tmpl w:val="79A05E5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32DA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CB5125"/>
    <w:multiLevelType w:val="multilevel"/>
    <w:tmpl w:val="91529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3767D6"/>
    <w:multiLevelType w:val="multilevel"/>
    <w:tmpl w:val="F75E9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2B139A"/>
    <w:multiLevelType w:val="hybridMultilevel"/>
    <w:tmpl w:val="8C76FF38"/>
    <w:lvl w:ilvl="0" w:tplc="CB1EB7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952A6"/>
    <w:multiLevelType w:val="multilevel"/>
    <w:tmpl w:val="EE249D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9A064A0"/>
    <w:multiLevelType w:val="multilevel"/>
    <w:tmpl w:val="484E4D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FF00D74"/>
    <w:multiLevelType w:val="hybridMultilevel"/>
    <w:tmpl w:val="B65444AE"/>
    <w:lvl w:ilvl="0" w:tplc="E9EA7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8454C"/>
    <w:multiLevelType w:val="multilevel"/>
    <w:tmpl w:val="641E6C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AB"/>
    <w:rsid w:val="000831E2"/>
    <w:rsid w:val="00100645"/>
    <w:rsid w:val="002B373A"/>
    <w:rsid w:val="0037283C"/>
    <w:rsid w:val="00391EAD"/>
    <w:rsid w:val="003B1B07"/>
    <w:rsid w:val="003C79AB"/>
    <w:rsid w:val="003F4021"/>
    <w:rsid w:val="00597A8F"/>
    <w:rsid w:val="006238CB"/>
    <w:rsid w:val="00682349"/>
    <w:rsid w:val="006E193D"/>
    <w:rsid w:val="006F5FF3"/>
    <w:rsid w:val="00861B70"/>
    <w:rsid w:val="0092426A"/>
    <w:rsid w:val="00A06E20"/>
    <w:rsid w:val="00A35B75"/>
    <w:rsid w:val="00A82F45"/>
    <w:rsid w:val="00C8116D"/>
    <w:rsid w:val="00CE3B99"/>
    <w:rsid w:val="00D571EB"/>
    <w:rsid w:val="00D74A5E"/>
    <w:rsid w:val="00DF41B9"/>
    <w:rsid w:val="00E72D5A"/>
    <w:rsid w:val="00F241F3"/>
    <w:rsid w:val="00F969B9"/>
    <w:rsid w:val="00FF0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446FA-D7ED-4BB7-90ED-98BDF987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3C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831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1B70"/>
    <w:rPr>
      <w:color w:val="0563C1" w:themeColor="hyperlink"/>
      <w:u w:val="single"/>
    </w:rPr>
  </w:style>
  <w:style w:type="paragraph" w:customStyle="1" w:styleId="Default">
    <w:name w:val="Default"/>
    <w:rsid w:val="002B3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ditwest.ua/uk/contact-us/complianc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reditwest.ua/uk/contact-us/feedback/" TargetMode="External"/><Relationship Id="rId12" Type="http://schemas.openxmlformats.org/officeDocument/2006/relationships/hyperlink" Target="http://www.bank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reditwest.ua" TargetMode="External"/><Relationship Id="rId11" Type="http://schemas.openxmlformats.org/officeDocument/2006/relationships/hyperlink" Target="https://www.creditwest.ua/uk/about-us/statutory-documents/" TargetMode="External"/><Relationship Id="rId5" Type="http://schemas.openxmlformats.org/officeDocument/2006/relationships/hyperlink" Target="mailto:info@creditwest.ua" TargetMode="External"/><Relationship Id="rId10" Type="http://schemas.openxmlformats.org/officeDocument/2006/relationships/hyperlink" Target="https://www.creditwest.ua/uk/about-us/statutory-docu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ditwest.ua/upload/iblock/092/0922c354d2a5c64decfc1d09b2d1a37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4354</Words>
  <Characters>2482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 Klymchuk</dc:creator>
  <cp:lastModifiedBy>Tetyana Efremova</cp:lastModifiedBy>
  <cp:revision>2</cp:revision>
  <dcterms:created xsi:type="dcterms:W3CDTF">2020-01-24T14:20:00Z</dcterms:created>
  <dcterms:modified xsi:type="dcterms:W3CDTF">2020-01-24T14:20:00Z</dcterms:modified>
</cp:coreProperties>
</file>