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4"/>
        <w:gridCol w:w="6951"/>
      </w:tblGrid>
      <w:tr w:rsidR="006E193D" w:rsidRPr="004E1DCF" w:rsidTr="00BC21A5">
        <w:trPr>
          <w:trHeight w:val="560"/>
        </w:trPr>
        <w:tc>
          <w:tcPr>
            <w:tcW w:w="10065" w:type="dxa"/>
            <w:gridSpan w:val="2"/>
            <w:vAlign w:val="center"/>
          </w:tcPr>
          <w:p w:rsidR="006E193D" w:rsidRPr="004E1DCF" w:rsidRDefault="006E193D" w:rsidP="00CE0B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1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особa, яка надає фінансовУ послугУ:</w:t>
            </w:r>
          </w:p>
        </w:tc>
      </w:tr>
      <w:tr w:rsidR="0037283C" w:rsidRPr="004E1DCF" w:rsidTr="00BC21A5">
        <w:trPr>
          <w:trHeight w:val="1075"/>
        </w:trPr>
        <w:tc>
          <w:tcPr>
            <w:tcW w:w="3114" w:type="dxa"/>
          </w:tcPr>
          <w:p w:rsidR="0037283C" w:rsidRPr="004E1DCF" w:rsidRDefault="0037283C" w:rsidP="00CE0B2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51" w:type="dxa"/>
          </w:tcPr>
          <w:p w:rsidR="0037283C" w:rsidRPr="004E1DCF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Акціонерне товариство “ВЕСТ ФАЙНЕНС ЕНД КРЕДИТ БАНК”</w:t>
            </w:r>
            <w:r w:rsidR="00391EAD" w:rsidRPr="004E1DCF">
              <w:rPr>
                <w:color w:val="000000"/>
                <w:sz w:val="28"/>
                <w:szCs w:val="28"/>
              </w:rPr>
              <w:t xml:space="preserve"> (скорочене найменування </w:t>
            </w:r>
            <w:r w:rsidRPr="004E1DCF">
              <w:rPr>
                <w:color w:val="000000"/>
                <w:sz w:val="28"/>
                <w:szCs w:val="28"/>
              </w:rPr>
              <w:t>АТ «КРЕДИТВЕСТ БАНК»)</w:t>
            </w:r>
          </w:p>
        </w:tc>
      </w:tr>
      <w:tr w:rsidR="0037283C" w:rsidRPr="004E1DCF" w:rsidTr="00BC21A5">
        <w:trPr>
          <w:trHeight w:val="818"/>
        </w:trPr>
        <w:tc>
          <w:tcPr>
            <w:tcW w:w="3114" w:type="dxa"/>
          </w:tcPr>
          <w:p w:rsidR="0037283C" w:rsidRPr="004E1DCF" w:rsidRDefault="0037283C" w:rsidP="00CE0B2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6951" w:type="dxa"/>
          </w:tcPr>
          <w:p w:rsidR="0037283C" w:rsidRPr="004E1DCF" w:rsidRDefault="00861B70" w:rsidP="0067441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Україна, 010</w:t>
            </w:r>
            <w:r w:rsidR="0067441B" w:rsidRPr="004E1DCF">
              <w:rPr>
                <w:color w:val="000000"/>
                <w:sz w:val="28"/>
                <w:szCs w:val="28"/>
              </w:rPr>
              <w:t>54</w:t>
            </w:r>
            <w:r w:rsidRPr="004E1DCF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</w:tc>
      </w:tr>
      <w:tr w:rsidR="0037283C" w:rsidRPr="004E1DCF" w:rsidTr="00BC21A5">
        <w:trPr>
          <w:trHeight w:val="778"/>
        </w:trPr>
        <w:tc>
          <w:tcPr>
            <w:tcW w:w="3114" w:type="dxa"/>
          </w:tcPr>
          <w:p w:rsidR="0037283C" w:rsidRPr="004E1DCF" w:rsidRDefault="0037283C" w:rsidP="00CE0B2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6951" w:type="dxa"/>
          </w:tcPr>
          <w:p w:rsidR="0037283C" w:rsidRPr="004E1DCF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+38 (044) 365-00-01, факс +38 (044) 365-00-04</w:t>
            </w:r>
          </w:p>
        </w:tc>
      </w:tr>
      <w:tr w:rsidR="0037283C" w:rsidRPr="004E1DCF" w:rsidTr="00BC21A5">
        <w:trPr>
          <w:trHeight w:val="675"/>
        </w:trPr>
        <w:tc>
          <w:tcPr>
            <w:tcW w:w="3114" w:type="dxa"/>
          </w:tcPr>
          <w:p w:rsidR="0037283C" w:rsidRPr="004E1DCF" w:rsidRDefault="0037283C" w:rsidP="00CE0B2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78"/>
                <w:tab w:val="left" w:pos="596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6951" w:type="dxa"/>
          </w:tcPr>
          <w:p w:rsidR="00861B70" w:rsidRPr="004E1DCF" w:rsidRDefault="009B7291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861B70" w:rsidRPr="004E1DCF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</w:tc>
      </w:tr>
      <w:tr w:rsidR="0037283C" w:rsidRPr="004E1DCF" w:rsidTr="00BC21A5">
        <w:trPr>
          <w:trHeight w:val="2351"/>
        </w:trPr>
        <w:tc>
          <w:tcPr>
            <w:tcW w:w="3114" w:type="dxa"/>
          </w:tcPr>
          <w:p w:rsidR="0037283C" w:rsidRPr="004E1DCF" w:rsidRDefault="0037283C" w:rsidP="00CE0B22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78"/>
                <w:tab w:val="left" w:pos="596"/>
              </w:tabs>
              <w:spacing w:before="0" w:beforeAutospacing="0" w:after="0" w:afterAutospacing="0"/>
              <w:ind w:left="29" w:firstLine="142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адреса, за якою приймаються звернення </w:t>
            </w:r>
          </w:p>
        </w:tc>
        <w:tc>
          <w:tcPr>
            <w:tcW w:w="6951" w:type="dxa"/>
          </w:tcPr>
          <w:p w:rsidR="0037283C" w:rsidRPr="004E1DCF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 w:rsidRPr="004E1DCF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  <w:p w:rsidR="00682349" w:rsidRPr="004E1DCF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Поштова адреса: Україна, 010</w:t>
            </w:r>
            <w:r w:rsidR="009B7291">
              <w:rPr>
                <w:color w:val="000000"/>
                <w:sz w:val="28"/>
                <w:szCs w:val="28"/>
              </w:rPr>
              <w:t>54</w:t>
            </w:r>
            <w:bookmarkStart w:id="0" w:name="_GoBack"/>
            <w:bookmarkEnd w:id="0"/>
            <w:r w:rsidRPr="004E1DCF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  <w:p w:rsidR="00682349" w:rsidRPr="004E1DCF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Зворотній зв’язок: </w:t>
            </w:r>
            <w:hyperlink r:id="rId7" w:history="1">
              <w:r w:rsidRPr="004E1DCF">
                <w:rPr>
                  <w:rStyle w:val="a5"/>
                  <w:sz w:val="28"/>
                  <w:szCs w:val="28"/>
                </w:rPr>
                <w:t>https://www.creditwest.ua/uk/contact-us/feedback/</w:t>
              </w:r>
            </w:hyperlink>
          </w:p>
          <w:p w:rsidR="00682349" w:rsidRPr="004E1DCF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Анонімне звернення:</w:t>
            </w:r>
          </w:p>
          <w:p w:rsidR="00682349" w:rsidRPr="004E1DCF" w:rsidRDefault="009B7291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8" w:history="1">
              <w:r w:rsidR="00682349" w:rsidRPr="004E1DCF">
                <w:rPr>
                  <w:rStyle w:val="a5"/>
                  <w:sz w:val="28"/>
                  <w:szCs w:val="28"/>
                </w:rPr>
                <w:t>https://www.creditwest.ua/uk/contact-us/compliance/</w:t>
              </w:r>
            </w:hyperlink>
          </w:p>
        </w:tc>
      </w:tr>
      <w:tr w:rsidR="0037283C" w:rsidRPr="004E1DCF" w:rsidTr="00BC21A5">
        <w:trPr>
          <w:trHeight w:val="1363"/>
        </w:trPr>
        <w:tc>
          <w:tcPr>
            <w:tcW w:w="3114" w:type="dxa"/>
          </w:tcPr>
          <w:p w:rsidR="0037283C" w:rsidRPr="004E1DCF" w:rsidRDefault="0037283C" w:rsidP="00DD4F76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78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найменування особи, яка надає посередницькі послуги (за наявності)</w:t>
            </w:r>
          </w:p>
        </w:tc>
        <w:tc>
          <w:tcPr>
            <w:tcW w:w="6951" w:type="dxa"/>
          </w:tcPr>
          <w:p w:rsidR="0037283C" w:rsidRPr="004E1DCF" w:rsidRDefault="00CE3B9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В</w:t>
            </w:r>
            <w:r w:rsidR="00861B70" w:rsidRPr="004E1DCF">
              <w:rPr>
                <w:sz w:val="28"/>
                <w:szCs w:val="28"/>
              </w:rPr>
              <w:t>ідсутня</w:t>
            </w:r>
          </w:p>
        </w:tc>
      </w:tr>
      <w:tr w:rsidR="0037283C" w:rsidRPr="004E1DCF" w:rsidTr="00BC21A5">
        <w:trPr>
          <w:trHeight w:val="1662"/>
        </w:trPr>
        <w:tc>
          <w:tcPr>
            <w:tcW w:w="3114" w:type="dxa"/>
          </w:tcPr>
          <w:p w:rsidR="0037283C" w:rsidRPr="004E1DCF" w:rsidRDefault="0037283C" w:rsidP="009A1BE4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78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відомості про державну реєстрацію</w:t>
            </w:r>
          </w:p>
        </w:tc>
        <w:tc>
          <w:tcPr>
            <w:tcW w:w="6951" w:type="dxa"/>
          </w:tcPr>
          <w:p w:rsidR="00F969B9" w:rsidRPr="004E1DCF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 w:rsidR="00DF41B9" w:rsidRPr="004E1DCF">
                <w:rPr>
                  <w:rStyle w:val="a5"/>
                  <w:sz w:val="28"/>
                  <w:szCs w:val="28"/>
                </w:rPr>
                <w:t>https://www.creditwest.ua/upload/iblock/092/0922c354d2a5c64decfc1d09b2d1a374.jpg</w:t>
              </w:r>
            </w:hyperlink>
          </w:p>
        </w:tc>
      </w:tr>
      <w:tr w:rsidR="0037283C" w:rsidRPr="004E1DCF" w:rsidTr="00BC21A5">
        <w:trPr>
          <w:trHeight w:val="1743"/>
        </w:trPr>
        <w:tc>
          <w:tcPr>
            <w:tcW w:w="3114" w:type="dxa"/>
          </w:tcPr>
          <w:p w:rsidR="0037283C" w:rsidRPr="004E1DCF" w:rsidRDefault="0037283C" w:rsidP="009A1BE4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78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інформаці</w:t>
            </w:r>
            <w:r w:rsidR="000831E2" w:rsidRPr="004E1DCF">
              <w:rPr>
                <w:sz w:val="28"/>
                <w:szCs w:val="28"/>
              </w:rPr>
              <w:t>я</w:t>
            </w:r>
            <w:r w:rsidRPr="004E1DCF">
              <w:rPr>
                <w:sz w:val="28"/>
                <w:szCs w:val="28"/>
              </w:rPr>
              <w:t xml:space="preserve"> щодо включення до </w:t>
            </w:r>
            <w:r w:rsidR="00A35B75" w:rsidRPr="004E1DCF">
              <w:rPr>
                <w:sz w:val="28"/>
                <w:szCs w:val="28"/>
              </w:rPr>
              <w:t>Державного реєстру банків</w:t>
            </w:r>
          </w:p>
        </w:tc>
        <w:tc>
          <w:tcPr>
            <w:tcW w:w="6951" w:type="dxa"/>
          </w:tcPr>
          <w:p w:rsidR="00C8116D" w:rsidRPr="004E1DCF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E1DCF">
              <w:rPr>
                <w:sz w:val="28"/>
                <w:szCs w:val="28"/>
              </w:rPr>
              <w:t>Внесено</w:t>
            </w:r>
            <w:proofErr w:type="spellEnd"/>
            <w:r w:rsidRPr="004E1DCF">
              <w:rPr>
                <w:sz w:val="28"/>
                <w:szCs w:val="28"/>
              </w:rPr>
              <w:t xml:space="preserve"> до Державного реєстру банків </w:t>
            </w:r>
          </w:p>
          <w:p w:rsidR="00861B70" w:rsidRPr="004E1DCF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 xml:space="preserve">04 жовтня 2006 р. за номером </w:t>
            </w:r>
            <w:r w:rsidR="00F969B9" w:rsidRPr="004E1DCF">
              <w:rPr>
                <w:sz w:val="28"/>
                <w:szCs w:val="28"/>
              </w:rPr>
              <w:t xml:space="preserve">311, </w:t>
            </w:r>
            <w:r w:rsidRPr="004E1DCF">
              <w:rPr>
                <w:sz w:val="28"/>
                <w:szCs w:val="28"/>
              </w:rPr>
              <w:t xml:space="preserve">згідно </w:t>
            </w:r>
            <w:r w:rsidR="00861B70" w:rsidRPr="004E1DCF">
              <w:rPr>
                <w:sz w:val="28"/>
                <w:szCs w:val="28"/>
              </w:rPr>
              <w:t>Свідоцтв</w:t>
            </w:r>
            <w:r w:rsidRPr="004E1DCF">
              <w:rPr>
                <w:sz w:val="28"/>
                <w:szCs w:val="28"/>
              </w:rPr>
              <w:t>а</w:t>
            </w:r>
            <w:r w:rsidR="00861B70" w:rsidRPr="004E1DCF">
              <w:rPr>
                <w:sz w:val="28"/>
                <w:szCs w:val="28"/>
              </w:rPr>
              <w:t xml:space="preserve"> про реєстрацію </w:t>
            </w:r>
            <w:r w:rsidRPr="004E1DCF">
              <w:rPr>
                <w:sz w:val="28"/>
                <w:szCs w:val="28"/>
              </w:rPr>
              <w:t>видан</w:t>
            </w:r>
            <w:r w:rsidR="00682349" w:rsidRPr="004E1DCF">
              <w:rPr>
                <w:sz w:val="28"/>
                <w:szCs w:val="28"/>
              </w:rPr>
              <w:t>ого</w:t>
            </w:r>
            <w:r w:rsidRPr="004E1DCF">
              <w:rPr>
                <w:sz w:val="28"/>
                <w:szCs w:val="28"/>
              </w:rPr>
              <w:t xml:space="preserve"> Національним Банком України </w:t>
            </w:r>
            <w:r w:rsidR="00861B70" w:rsidRPr="004E1DCF">
              <w:rPr>
                <w:sz w:val="28"/>
                <w:szCs w:val="28"/>
              </w:rPr>
              <w:t xml:space="preserve">за №0000538 </w:t>
            </w:r>
            <w:hyperlink r:id="rId10" w:history="1">
              <w:r w:rsidR="00DF41B9" w:rsidRPr="004E1DCF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4E1DCF" w:rsidTr="00B7203F">
        <w:trPr>
          <w:trHeight w:val="1781"/>
        </w:trPr>
        <w:tc>
          <w:tcPr>
            <w:tcW w:w="3114" w:type="dxa"/>
          </w:tcPr>
          <w:p w:rsidR="0037283C" w:rsidRPr="004E1DCF" w:rsidRDefault="0037283C" w:rsidP="009A1BE4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78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 xml:space="preserve">інформацію щодо наявності права на надання </w:t>
            </w:r>
            <w:r w:rsidR="00A35B75" w:rsidRPr="004E1DCF">
              <w:rPr>
                <w:sz w:val="28"/>
                <w:szCs w:val="28"/>
              </w:rPr>
              <w:t>фінансової послуги</w:t>
            </w:r>
          </w:p>
        </w:tc>
        <w:tc>
          <w:tcPr>
            <w:tcW w:w="6951" w:type="dxa"/>
          </w:tcPr>
          <w:p w:rsidR="0037283C" w:rsidRPr="004E1DCF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Банківська ліцензія №235 від 14.11.2011</w:t>
            </w:r>
          </w:p>
          <w:p w:rsidR="00C8116D" w:rsidRPr="004E1DCF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Генеральна ліцензія на здійснення валютних операцій №235-3 від 04.11.2016</w:t>
            </w:r>
          </w:p>
          <w:p w:rsidR="003B1B07" w:rsidRPr="004E1DCF" w:rsidRDefault="009B7291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1" w:history="1">
              <w:r w:rsidR="003B1B07" w:rsidRPr="004E1DCF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4E1DCF" w:rsidTr="00BC21A5">
        <w:tc>
          <w:tcPr>
            <w:tcW w:w="3114" w:type="dxa"/>
          </w:tcPr>
          <w:p w:rsidR="0037283C" w:rsidRPr="004E1DCF" w:rsidRDefault="0037283C" w:rsidP="009A1BE4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78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контактн</w:t>
            </w:r>
            <w:r w:rsidR="00A35B75" w:rsidRPr="004E1DCF">
              <w:rPr>
                <w:sz w:val="28"/>
                <w:szCs w:val="28"/>
              </w:rPr>
              <w:t>а</w:t>
            </w:r>
            <w:r w:rsidRPr="004E1DCF">
              <w:rPr>
                <w:sz w:val="28"/>
                <w:szCs w:val="28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4E1DCF">
              <w:rPr>
                <w:sz w:val="28"/>
                <w:szCs w:val="28"/>
              </w:rPr>
              <w:t>яка надає фінансові послуги</w:t>
            </w:r>
          </w:p>
        </w:tc>
        <w:tc>
          <w:tcPr>
            <w:tcW w:w="6951" w:type="dxa"/>
          </w:tcPr>
          <w:p w:rsidR="006E193D" w:rsidRPr="004E1DCF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Національний Банк України</w:t>
            </w:r>
          </w:p>
          <w:p w:rsidR="0037283C" w:rsidRPr="004E1DCF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Телефон:(044) 253-01-80</w:t>
            </w:r>
          </w:p>
          <w:p w:rsidR="006E193D" w:rsidRPr="004E1DCF" w:rsidRDefault="009B7291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tgtFrame="_blank" w:history="1">
              <w:r w:rsidR="006E193D" w:rsidRPr="004E1DCF">
                <w:rPr>
                  <w:rStyle w:val="a5"/>
                  <w:color w:val="auto"/>
                  <w:sz w:val="28"/>
                  <w:szCs w:val="28"/>
                </w:rPr>
                <w:t>www.bank.gov.ua</w:t>
              </w:r>
            </w:hyperlink>
          </w:p>
        </w:tc>
      </w:tr>
      <w:tr w:rsidR="006E193D" w:rsidRPr="004E1DCF" w:rsidTr="00BC21A5">
        <w:tc>
          <w:tcPr>
            <w:tcW w:w="10065" w:type="dxa"/>
            <w:gridSpan w:val="2"/>
          </w:tcPr>
          <w:p w:rsidR="006E193D" w:rsidRPr="004E1DCF" w:rsidRDefault="006E193D" w:rsidP="000831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1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 xml:space="preserve">ІНФОРМАЦІЯ ПРО ФІНАНСОВУ ПОСЛУГУ </w:t>
            </w:r>
          </w:p>
          <w:p w:rsidR="006E193D" w:rsidRPr="004E1DCF" w:rsidRDefault="006E193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DCF">
              <w:rPr>
                <w:i/>
                <w:sz w:val="28"/>
                <w:szCs w:val="28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6F5FF3" w:rsidRPr="004E1DCF" w:rsidTr="00B7203F">
        <w:tc>
          <w:tcPr>
            <w:tcW w:w="3114" w:type="dxa"/>
            <w:vAlign w:val="center"/>
          </w:tcPr>
          <w:p w:rsidR="006F5FF3" w:rsidRPr="004E1DCF" w:rsidRDefault="006F5FF3" w:rsidP="00B7203F">
            <w:pPr>
              <w:pStyle w:val="a4"/>
              <w:ind w:left="34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E1DCF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r w:rsidR="00CE3B99" w:rsidRPr="004E1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CF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</w:p>
        </w:tc>
        <w:tc>
          <w:tcPr>
            <w:tcW w:w="6951" w:type="dxa"/>
          </w:tcPr>
          <w:p w:rsidR="00CE3B99" w:rsidRPr="004E1DCF" w:rsidRDefault="002B373A" w:rsidP="002B3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ДЕПОЗИТНІ </w:t>
            </w:r>
            <w:r w:rsidR="00A82F45" w:rsidRPr="004E1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ПРОДУКТИ ДЛЯ ЮРИД</w:t>
            </w:r>
            <w:r w:rsidRPr="004E1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ИЧНИХ ОСІБ</w:t>
            </w:r>
            <w:r w:rsidRPr="004E1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B373A" w:rsidRPr="004E1DCF" w:rsidRDefault="00B7203F" w:rsidP="00522DB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="002B373A" w:rsidRPr="004E1D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Класичний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2B373A" w:rsidRPr="004E1D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="002B373A" w:rsidRPr="004E1D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</w:t>
            </w:r>
            <w:r w:rsidR="00A82F45" w:rsidRPr="004E1D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ичний Плюс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A82F45" w:rsidRPr="004E1D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="00A82F45" w:rsidRPr="004E1D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Багатій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0831E2" w:rsidRPr="004E1DCF" w:rsidTr="00BC21A5">
        <w:tc>
          <w:tcPr>
            <w:tcW w:w="3114" w:type="dxa"/>
          </w:tcPr>
          <w:p w:rsidR="000831E2" w:rsidRPr="004E1DCF" w:rsidRDefault="002B373A" w:rsidP="00FB6365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відсоткова / депозитна ставка, річних</w:t>
            </w:r>
          </w:p>
        </w:tc>
        <w:tc>
          <w:tcPr>
            <w:tcW w:w="6951" w:type="dxa"/>
          </w:tcPr>
          <w:p w:rsidR="000831E2" w:rsidRPr="004E1DCF" w:rsidRDefault="00A82F45" w:rsidP="00391E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Встановлюються індивідуально в залежності від валюти, терміну та суми депозиту, погоджуються з клієнтом та відображаються в депозитних договорах підписаних з кожним клієнтом окремо.</w:t>
            </w:r>
          </w:p>
        </w:tc>
      </w:tr>
      <w:tr w:rsidR="000831E2" w:rsidRPr="004E1DCF" w:rsidTr="00BC21A5">
        <w:trPr>
          <w:trHeight w:val="483"/>
        </w:trPr>
        <w:tc>
          <w:tcPr>
            <w:tcW w:w="3114" w:type="dxa"/>
          </w:tcPr>
          <w:p w:rsidR="000831E2" w:rsidRPr="004E1DCF" w:rsidRDefault="006F5FF3" w:rsidP="00FB6365">
            <w:pPr>
              <w:pStyle w:val="rvps2"/>
              <w:numPr>
                <w:ilvl w:val="1"/>
                <w:numId w:val="5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податки, збори</w:t>
            </w:r>
          </w:p>
        </w:tc>
        <w:tc>
          <w:tcPr>
            <w:tcW w:w="6951" w:type="dxa"/>
          </w:tcPr>
          <w:p w:rsidR="000831E2" w:rsidRPr="004E1DCF" w:rsidRDefault="00A82F45" w:rsidP="002B37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1DCF">
              <w:rPr>
                <w:sz w:val="28"/>
                <w:szCs w:val="28"/>
              </w:rPr>
              <w:t>Не передбачені</w:t>
            </w:r>
          </w:p>
        </w:tc>
      </w:tr>
      <w:tr w:rsidR="006E193D" w:rsidRPr="004E1DCF" w:rsidTr="00BC21A5">
        <w:trPr>
          <w:trHeight w:val="561"/>
        </w:trPr>
        <w:tc>
          <w:tcPr>
            <w:tcW w:w="10065" w:type="dxa"/>
            <w:gridSpan w:val="2"/>
            <w:vAlign w:val="center"/>
          </w:tcPr>
          <w:p w:rsidR="006E193D" w:rsidRPr="004E1DCF" w:rsidRDefault="006E193D" w:rsidP="000869F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4E1DCF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договір про надання фінансової послуги:</w:t>
            </w:r>
          </w:p>
        </w:tc>
      </w:tr>
      <w:tr w:rsidR="0037283C" w:rsidRPr="004E1DCF" w:rsidTr="00BC21A5">
        <w:trPr>
          <w:trHeight w:val="1740"/>
        </w:trPr>
        <w:tc>
          <w:tcPr>
            <w:tcW w:w="3114" w:type="dxa"/>
          </w:tcPr>
          <w:p w:rsidR="0037283C" w:rsidRPr="004E1DCF" w:rsidRDefault="0037283C" w:rsidP="00DD4F76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470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6951" w:type="dxa"/>
          </w:tcPr>
          <w:p w:rsidR="00FF0A44" w:rsidRPr="004E1DCF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За банківськими вкладами на вимогу клієнт має право відмовитися від договору. </w:t>
            </w:r>
          </w:p>
          <w:p w:rsidR="0037283C" w:rsidRPr="004E1DCF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За строковими банківськими вкладами</w:t>
            </w:r>
            <w:r w:rsidR="00100645" w:rsidRPr="004E1DCF">
              <w:rPr>
                <w:color w:val="000000"/>
                <w:sz w:val="28"/>
                <w:szCs w:val="28"/>
              </w:rPr>
              <w:t xml:space="preserve"> </w:t>
            </w:r>
            <w:r w:rsidRPr="004E1DCF">
              <w:rPr>
                <w:color w:val="000000"/>
                <w:sz w:val="28"/>
                <w:szCs w:val="28"/>
              </w:rPr>
              <w:t>клієнт не має права відмовитися</w:t>
            </w:r>
            <w:r w:rsidR="00100645" w:rsidRPr="004E1DCF">
              <w:rPr>
                <w:color w:val="000000"/>
                <w:sz w:val="28"/>
                <w:szCs w:val="28"/>
              </w:rPr>
              <w:t xml:space="preserve"> </w:t>
            </w:r>
            <w:r w:rsidRPr="004E1DCF">
              <w:rPr>
                <w:color w:val="000000"/>
                <w:sz w:val="28"/>
                <w:szCs w:val="28"/>
              </w:rPr>
              <w:t>від договору до завершення строку розміщення вкладу.</w:t>
            </w:r>
          </w:p>
        </w:tc>
      </w:tr>
      <w:tr w:rsidR="0037283C" w:rsidRPr="004E1DCF" w:rsidTr="00BC21A5">
        <w:trPr>
          <w:trHeight w:val="2387"/>
        </w:trPr>
        <w:tc>
          <w:tcPr>
            <w:tcW w:w="3114" w:type="dxa"/>
          </w:tcPr>
          <w:p w:rsidR="0037283C" w:rsidRPr="004E1DCF" w:rsidRDefault="0037283C" w:rsidP="00DD4F76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470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</w:t>
            </w:r>
          </w:p>
        </w:tc>
        <w:tc>
          <w:tcPr>
            <w:tcW w:w="6951" w:type="dxa"/>
          </w:tcPr>
          <w:p w:rsidR="00FF0A44" w:rsidRPr="004E1DCF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За банківськими вкладами на вимогу клієнт має право відмовитися від договору протягом всього строку дії договору, подавши заяву про розірвання договору та повернення усієї суми банківського вкладу. </w:t>
            </w:r>
          </w:p>
          <w:p w:rsidR="003F4021" w:rsidRPr="004E1DCF" w:rsidRDefault="00FF0A44" w:rsidP="000C6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За строковими банківськими вкладами</w:t>
            </w:r>
            <w:r w:rsidR="00100645" w:rsidRPr="004E1DCF">
              <w:rPr>
                <w:color w:val="000000"/>
                <w:sz w:val="28"/>
                <w:szCs w:val="28"/>
              </w:rPr>
              <w:t xml:space="preserve"> </w:t>
            </w:r>
            <w:r w:rsidRPr="004E1DCF">
              <w:rPr>
                <w:color w:val="000000"/>
                <w:sz w:val="28"/>
                <w:szCs w:val="28"/>
              </w:rPr>
              <w:t>клієнт не має права відмовитися</w:t>
            </w:r>
            <w:r w:rsidR="00100645" w:rsidRPr="004E1DCF">
              <w:rPr>
                <w:color w:val="000000"/>
                <w:sz w:val="28"/>
                <w:szCs w:val="28"/>
              </w:rPr>
              <w:t xml:space="preserve"> </w:t>
            </w:r>
            <w:r w:rsidRPr="004E1DCF">
              <w:rPr>
                <w:color w:val="000000"/>
                <w:sz w:val="28"/>
                <w:szCs w:val="28"/>
              </w:rPr>
              <w:t>від договору до завершення строку розміщення вкладу.</w:t>
            </w:r>
          </w:p>
        </w:tc>
      </w:tr>
      <w:tr w:rsidR="0037283C" w:rsidRPr="004E1DCF" w:rsidTr="00BC21A5">
        <w:trPr>
          <w:trHeight w:val="1698"/>
        </w:trPr>
        <w:tc>
          <w:tcPr>
            <w:tcW w:w="3114" w:type="dxa"/>
          </w:tcPr>
          <w:p w:rsidR="0037283C" w:rsidRPr="004E1DCF" w:rsidRDefault="0037283C" w:rsidP="00DD4F76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470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мінімальний строк дії договору (якщо застосовується)</w:t>
            </w:r>
          </w:p>
        </w:tc>
        <w:tc>
          <w:tcPr>
            <w:tcW w:w="6951" w:type="dxa"/>
          </w:tcPr>
          <w:p w:rsidR="0037283C" w:rsidRPr="004E1DCF" w:rsidRDefault="00FF0A44" w:rsidP="000C6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За банківськими вкладами на вимогу мінімальний строк дії договору не застосовується.</w:t>
            </w:r>
            <w:r w:rsidR="00CE3B99" w:rsidRPr="004E1DCF">
              <w:rPr>
                <w:color w:val="000000"/>
                <w:sz w:val="28"/>
                <w:szCs w:val="28"/>
              </w:rPr>
              <w:t xml:space="preserve"> </w:t>
            </w:r>
            <w:r w:rsidR="003F4021" w:rsidRPr="004E1DCF">
              <w:rPr>
                <w:color w:val="000000"/>
                <w:sz w:val="28"/>
                <w:szCs w:val="28"/>
              </w:rPr>
              <w:t>Мінімальний термін дії договору за строковими депозитами 14 днів. Депозити</w:t>
            </w:r>
            <w:r w:rsidRPr="004E1DCF">
              <w:rPr>
                <w:color w:val="000000"/>
                <w:sz w:val="28"/>
                <w:szCs w:val="28"/>
              </w:rPr>
              <w:t xml:space="preserve">, що розміщуються на індивідуальних умовах, строк дії договору визначається за домовленістю сторін. </w:t>
            </w:r>
          </w:p>
        </w:tc>
      </w:tr>
      <w:tr w:rsidR="00611498" w:rsidRPr="004E1DCF" w:rsidTr="00BC21A5">
        <w:trPr>
          <w:trHeight w:val="701"/>
        </w:trPr>
        <w:tc>
          <w:tcPr>
            <w:tcW w:w="3114" w:type="dxa"/>
          </w:tcPr>
          <w:p w:rsidR="00611498" w:rsidRPr="004E1DCF" w:rsidRDefault="00611498" w:rsidP="00DD4F76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470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6951" w:type="dxa"/>
          </w:tcPr>
          <w:p w:rsidR="00611498" w:rsidRPr="004E1DCF" w:rsidRDefault="00611498" w:rsidP="006114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За банківськими вкладами на вимогу клієнт має право достроково розірвати/припинити договір протягом всього строку дії договору, подавши заяву про розірвання договору та повернення усієї суми банківського вкладу. Внаслідок дострокового розірвання/припинення договору банком здійснюється перерахунок процентів, нарахованих на банківський вклад, в розмірі, передбаченому договором банківського вкладу. </w:t>
            </w:r>
          </w:p>
          <w:p w:rsidR="00611498" w:rsidRPr="00CE0B22" w:rsidRDefault="00611498" w:rsidP="006114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611498" w:rsidRPr="004E1DCF" w:rsidRDefault="00611498" w:rsidP="006114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За строковими банківськими вкладами клієнт не має права достроково розірвати/припинити договір до завершення строку розміщення вкладу.</w:t>
            </w:r>
          </w:p>
          <w:p w:rsidR="00611498" w:rsidRPr="00CE0B22" w:rsidRDefault="00611498" w:rsidP="006114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611498" w:rsidRPr="004E1DCF" w:rsidRDefault="00611498" w:rsidP="006114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lastRenderedPageBreak/>
              <w:t>Дострокове виконання договору клієнтом для договорів банківського вкладу не застосовується.</w:t>
            </w:r>
          </w:p>
        </w:tc>
      </w:tr>
      <w:tr w:rsidR="0037283C" w:rsidRPr="004E1DCF" w:rsidTr="00BC21A5">
        <w:trPr>
          <w:trHeight w:val="4387"/>
        </w:trPr>
        <w:tc>
          <w:tcPr>
            <w:tcW w:w="3114" w:type="dxa"/>
          </w:tcPr>
          <w:p w:rsidR="0037283C" w:rsidRPr="004E1DCF" w:rsidRDefault="0037283C" w:rsidP="00D6582F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lastRenderedPageBreak/>
              <w:t>порядок внесення змін та доповнень до договору</w:t>
            </w:r>
          </w:p>
        </w:tc>
        <w:tc>
          <w:tcPr>
            <w:tcW w:w="6951" w:type="dxa"/>
          </w:tcPr>
          <w:p w:rsidR="00FF0A44" w:rsidRPr="004E1DCF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Банк має право вносити зміни до договору, крім зміни процентної ставки на вклад, повідомивши клієнта не пізніше, ніж на 30 календарних днів до дати набрання чинності змінами. </w:t>
            </w:r>
          </w:p>
          <w:p w:rsidR="00FF0A44" w:rsidRPr="004E1DCF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Таке повідомлення направляється </w:t>
            </w:r>
            <w:r w:rsidRPr="004E1DCF">
              <w:rPr>
                <w:sz w:val="28"/>
                <w:szCs w:val="28"/>
              </w:rPr>
              <w:t>клієнту банком у спосіб, що дає змогу встановити дату відправлення такого повідомлення.</w:t>
            </w:r>
          </w:p>
          <w:p w:rsidR="00FF0A44" w:rsidRPr="004E1DCF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У випадку незгоди із змінами клієнт має право до дати, з якої вони застосовуються, розірвати договір </w:t>
            </w:r>
            <w:r w:rsidRPr="004E1DCF">
              <w:rPr>
                <w:sz w:val="28"/>
                <w:szCs w:val="28"/>
              </w:rPr>
              <w:t>без сплати додаткової комісійної винагороди за його розірвання.</w:t>
            </w:r>
          </w:p>
          <w:p w:rsidR="00FF0A44" w:rsidRPr="004E1DCF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Зміни до договору вступають в силу, якщо до дати набрання ними чинності клієнт не повідомив банк про розірвання договору або не звернувся до суду. </w:t>
            </w:r>
          </w:p>
          <w:p w:rsidR="003F4021" w:rsidRPr="004E1DCF" w:rsidRDefault="00FF0A44" w:rsidP="000C64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Зміна процентної ставки на вклад здійснюється виключно шляхом підписання відповідної угоди/договору між банком та вкладником.</w:t>
            </w:r>
          </w:p>
        </w:tc>
      </w:tr>
      <w:tr w:rsidR="0037283C" w:rsidRPr="004E1DCF" w:rsidTr="00BC21A5">
        <w:tc>
          <w:tcPr>
            <w:tcW w:w="3114" w:type="dxa"/>
          </w:tcPr>
          <w:p w:rsidR="0037283C" w:rsidRPr="004E1DCF" w:rsidRDefault="0037283C" w:rsidP="00D6582F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6951" w:type="dxa"/>
          </w:tcPr>
          <w:p w:rsidR="0037283C" w:rsidRPr="004E1DCF" w:rsidRDefault="00FF0A44" w:rsidP="006238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Для договір банківського вкладу (договорів про депозит) не застосовується.</w:t>
            </w:r>
          </w:p>
        </w:tc>
      </w:tr>
      <w:tr w:rsidR="006E193D" w:rsidRPr="004E1DCF" w:rsidTr="00BC21A5">
        <w:trPr>
          <w:trHeight w:val="792"/>
        </w:trPr>
        <w:tc>
          <w:tcPr>
            <w:tcW w:w="10065" w:type="dxa"/>
            <w:gridSpan w:val="2"/>
            <w:vAlign w:val="center"/>
          </w:tcPr>
          <w:p w:rsidR="006E193D" w:rsidRPr="004E1DCF" w:rsidRDefault="006E193D" w:rsidP="00B820A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4E1DCF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37283C" w:rsidRPr="004E1DCF" w:rsidTr="00BC21A5">
        <w:tc>
          <w:tcPr>
            <w:tcW w:w="3114" w:type="dxa"/>
          </w:tcPr>
          <w:p w:rsidR="0037283C" w:rsidRPr="004E1DCF" w:rsidRDefault="0037283C" w:rsidP="00675495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6951" w:type="dxa"/>
          </w:tcPr>
          <w:p w:rsidR="00FF0A44" w:rsidRPr="004E1DCF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 w:rsidRPr="004E1DCF">
              <w:rPr>
                <w:sz w:val="28"/>
                <w:szCs w:val="28"/>
              </w:rPr>
              <w:t>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</w:t>
            </w:r>
          </w:p>
          <w:p w:rsidR="00100645" w:rsidRPr="004E1DCF" w:rsidRDefault="00FF0A44" w:rsidP="00BC21A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 xml:space="preserve">Клієнт  має право </w:t>
            </w:r>
            <w:r w:rsidRPr="004E1DCF">
              <w:rPr>
                <w:sz w:val="28"/>
                <w:szCs w:val="28"/>
              </w:rP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37283C" w:rsidRPr="004E1DCF" w:rsidTr="00BC21A5">
        <w:trPr>
          <w:trHeight w:val="843"/>
        </w:trPr>
        <w:tc>
          <w:tcPr>
            <w:tcW w:w="3114" w:type="dxa"/>
          </w:tcPr>
          <w:p w:rsidR="0037283C" w:rsidRPr="004E1DCF" w:rsidRDefault="0037283C" w:rsidP="00CE0DC1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313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t>наявність гарантійних фондів чи компенсаційних схем, що застосовують</w:t>
            </w:r>
            <w:r w:rsidR="00A35B75" w:rsidRPr="004E1DCF">
              <w:rPr>
                <w:color w:val="000000"/>
                <w:sz w:val="28"/>
                <w:szCs w:val="28"/>
              </w:rPr>
              <w:t xml:space="preserve">ся </w:t>
            </w:r>
            <w:r w:rsidR="00A35B75" w:rsidRPr="004E1DCF">
              <w:rPr>
                <w:color w:val="000000"/>
                <w:sz w:val="28"/>
                <w:szCs w:val="28"/>
              </w:rPr>
              <w:lastRenderedPageBreak/>
              <w:t>відповідно до законодавства</w:t>
            </w:r>
          </w:p>
        </w:tc>
        <w:tc>
          <w:tcPr>
            <w:tcW w:w="6951" w:type="dxa"/>
          </w:tcPr>
          <w:p w:rsidR="00FF0A44" w:rsidRPr="004E1DCF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lastRenderedPageBreak/>
              <w:t xml:space="preserve">Для фізичних осіб (в </w:t>
            </w:r>
            <w:proofErr w:type="spellStart"/>
            <w:r w:rsidRPr="004E1DCF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E1DCF">
              <w:rPr>
                <w:color w:val="000000"/>
                <w:sz w:val="28"/>
                <w:szCs w:val="28"/>
              </w:rPr>
              <w:t>. фізичних осіб – підприємців) застосовується механізм гарантування вкладів фізичних осіб відповідно до Закону України «Про систему гарантування вкладів фізичних осіб», з обмеженнями встановленими. вказаним Законом.</w:t>
            </w:r>
          </w:p>
          <w:p w:rsidR="0037283C" w:rsidRPr="004E1DCF" w:rsidRDefault="00FF0A44" w:rsidP="00BC21A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4E1DCF">
              <w:rPr>
                <w:color w:val="000000"/>
                <w:sz w:val="28"/>
                <w:szCs w:val="28"/>
              </w:rPr>
              <w:lastRenderedPageBreak/>
              <w:t>Для інших клієнтів гарантійних фондів чи компенсаційних схем законодавством не передбачено.</w:t>
            </w:r>
          </w:p>
        </w:tc>
      </w:tr>
    </w:tbl>
    <w:p w:rsidR="004C38FB" w:rsidRPr="00BC21A5" w:rsidRDefault="009B7291" w:rsidP="000831E2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38FB" w:rsidRPr="00BC21A5" w:rsidSect="004F165B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FF00D74"/>
    <w:multiLevelType w:val="hybridMultilevel"/>
    <w:tmpl w:val="B65444AE"/>
    <w:lvl w:ilvl="0" w:tplc="E9EA7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831E2"/>
    <w:rsid w:val="000869FE"/>
    <w:rsid w:val="000C64CB"/>
    <w:rsid w:val="00100645"/>
    <w:rsid w:val="002B373A"/>
    <w:rsid w:val="0037283C"/>
    <w:rsid w:val="00391EAD"/>
    <w:rsid w:val="003B1B07"/>
    <w:rsid w:val="003C79AB"/>
    <w:rsid w:val="003D239B"/>
    <w:rsid w:val="003F4021"/>
    <w:rsid w:val="004E1DCF"/>
    <w:rsid w:val="004F165B"/>
    <w:rsid w:val="00522DBD"/>
    <w:rsid w:val="00597A8F"/>
    <w:rsid w:val="00611498"/>
    <w:rsid w:val="006238CB"/>
    <w:rsid w:val="0067441B"/>
    <w:rsid w:val="00675495"/>
    <w:rsid w:val="00682349"/>
    <w:rsid w:val="006E193D"/>
    <w:rsid w:val="006F5FF3"/>
    <w:rsid w:val="00861B70"/>
    <w:rsid w:val="0092426A"/>
    <w:rsid w:val="009A1BE4"/>
    <w:rsid w:val="009B7291"/>
    <w:rsid w:val="00A06E20"/>
    <w:rsid w:val="00A354C9"/>
    <w:rsid w:val="00A35B75"/>
    <w:rsid w:val="00A82F45"/>
    <w:rsid w:val="00AD1569"/>
    <w:rsid w:val="00AE77C7"/>
    <w:rsid w:val="00B2090F"/>
    <w:rsid w:val="00B7203F"/>
    <w:rsid w:val="00B820AC"/>
    <w:rsid w:val="00BC21A5"/>
    <w:rsid w:val="00C8116D"/>
    <w:rsid w:val="00CE0B22"/>
    <w:rsid w:val="00CE0DC1"/>
    <w:rsid w:val="00CE3B99"/>
    <w:rsid w:val="00D10892"/>
    <w:rsid w:val="00D571EB"/>
    <w:rsid w:val="00D6582F"/>
    <w:rsid w:val="00D74A5E"/>
    <w:rsid w:val="00DD4F76"/>
    <w:rsid w:val="00DF3585"/>
    <w:rsid w:val="00DF41B9"/>
    <w:rsid w:val="00E22B0A"/>
    <w:rsid w:val="00E72D5A"/>
    <w:rsid w:val="00F241F3"/>
    <w:rsid w:val="00F969B9"/>
    <w:rsid w:val="00FB6365"/>
    <w:rsid w:val="00FF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446FA-D7ED-4BB7-90ED-98BDF987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customStyle="1" w:styleId="Default">
    <w:name w:val="Default"/>
    <w:rsid w:val="002B3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pload/iblock/092/0922c354d2a5c64decfc1d09b2d1a37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4343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Klymchuk</dc:creator>
  <cp:lastModifiedBy>Maryna Voloshyna</cp:lastModifiedBy>
  <cp:revision>33</cp:revision>
  <dcterms:created xsi:type="dcterms:W3CDTF">2020-09-14T06:30:00Z</dcterms:created>
  <dcterms:modified xsi:type="dcterms:W3CDTF">2020-09-22T14:19:00Z</dcterms:modified>
</cp:coreProperties>
</file>